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A290" w14:textId="77777777" w:rsidR="004054AF" w:rsidRDefault="004054AF" w:rsidP="0040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2186 - Ekonomski fakultet Sveučilišta u Rijeci </w:t>
      </w:r>
    </w:p>
    <w:p w14:paraId="2F622024" w14:textId="77777777" w:rsidR="005617F5" w:rsidRDefault="005617F5" w:rsidP="004054AF">
      <w:pPr>
        <w:rPr>
          <w:rFonts w:ascii="Times New Roman" w:hAnsi="Times New Roman" w:cs="Times New Roman"/>
          <w:sz w:val="24"/>
          <w:szCs w:val="24"/>
        </w:rPr>
      </w:pPr>
    </w:p>
    <w:p w14:paraId="6277D6E6" w14:textId="77777777" w:rsidR="002D444E" w:rsidRDefault="004054AF">
      <w:pPr>
        <w:rPr>
          <w:rFonts w:ascii="Times New Roman" w:hAnsi="Times New Roman" w:cs="Times New Roman"/>
          <w:b/>
          <w:sz w:val="24"/>
          <w:szCs w:val="24"/>
        </w:rPr>
      </w:pPr>
      <w:r w:rsidRPr="004054AF"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brazloženj</w:t>
      </w:r>
      <w:r w:rsidRPr="004054AF">
        <w:rPr>
          <w:rFonts w:ascii="Times New Roman" w:hAnsi="Times New Roman" w:cs="Times New Roman"/>
          <w:b/>
          <w:sz w:val="24"/>
          <w:szCs w:val="24"/>
        </w:rPr>
        <w:t>e p</w:t>
      </w:r>
      <w:r w:rsidR="00A46CB2" w:rsidRPr="004054AF">
        <w:rPr>
          <w:rFonts w:ascii="Times New Roman" w:hAnsi="Times New Roman" w:cs="Times New Roman"/>
          <w:b/>
          <w:sz w:val="24"/>
          <w:szCs w:val="24"/>
        </w:rPr>
        <w:t>osebnog dijela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4AF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EF05CF" w:rsidRPr="004054AF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4AF">
        <w:rPr>
          <w:rFonts w:ascii="Times New Roman" w:hAnsi="Times New Roman" w:cs="Times New Roman"/>
          <w:b/>
          <w:sz w:val="24"/>
          <w:szCs w:val="24"/>
        </w:rPr>
        <w:t>202</w:t>
      </w:r>
      <w:r w:rsidR="00CF3BAA">
        <w:rPr>
          <w:rFonts w:ascii="Times New Roman" w:hAnsi="Times New Roman" w:cs="Times New Roman"/>
          <w:b/>
          <w:sz w:val="24"/>
          <w:szCs w:val="24"/>
        </w:rPr>
        <w:t>3</w:t>
      </w:r>
      <w:r w:rsidRPr="004054AF">
        <w:rPr>
          <w:rFonts w:ascii="Times New Roman" w:hAnsi="Times New Roman" w:cs="Times New Roman"/>
          <w:b/>
          <w:sz w:val="24"/>
          <w:szCs w:val="24"/>
        </w:rPr>
        <w:t>. godinu</w:t>
      </w:r>
      <w:r w:rsidR="00CF3BAA">
        <w:rPr>
          <w:rFonts w:ascii="Times New Roman" w:hAnsi="Times New Roman" w:cs="Times New Roman"/>
          <w:b/>
          <w:sz w:val="24"/>
          <w:szCs w:val="24"/>
        </w:rPr>
        <w:t xml:space="preserve"> (od 01.01.2023.-30.06.2023.)</w:t>
      </w:r>
    </w:p>
    <w:p w14:paraId="2A7C1CE2" w14:textId="77777777" w:rsidR="005617F5" w:rsidRPr="004054AF" w:rsidRDefault="005617F5">
      <w:pPr>
        <w:rPr>
          <w:rFonts w:ascii="Times New Roman" w:hAnsi="Times New Roman" w:cs="Times New Roman"/>
          <w:b/>
          <w:sz w:val="24"/>
          <w:szCs w:val="24"/>
        </w:rPr>
      </w:pPr>
    </w:p>
    <w:p w14:paraId="766CD015" w14:textId="77777777" w:rsidR="00EF05CF" w:rsidRPr="00FC1CE5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4777A87E" w14:textId="77777777" w:rsidR="00952751" w:rsidRPr="00534860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sz w:val="24"/>
          <w:szCs w:val="24"/>
        </w:rPr>
        <w:t xml:space="preserve">Ekonomski fakultet u Rijeci osnovan je sredinom 1961. godine u sastavu Sveučilišta u Zagrebu. Izvođenje nastave na Fakultetu počinje 1.studenog 1961. godine. Osnivanjem Sveučilišta u Rijeci 1973. godine Fakultet  postaje autonomna sastavnica Sveučilišta u Rijeci. Visoka </w:t>
      </w:r>
      <w:r w:rsidRPr="00534860">
        <w:rPr>
          <w:rFonts w:ascii="Times New Roman" w:hAnsi="Times New Roman" w:cs="Times New Roman"/>
          <w:noProof/>
          <w:sz w:val="24"/>
          <w:szCs w:val="24"/>
        </w:rPr>
        <w:t>kvaliteta znanstvenog, nastavnog i obrazovnog procesa rezultat je otvorenosti znanstveno-nastavnih djelatnika svjetskoj znanosti, usmjerenosti razvoju novih ekonomskih znanja, orijentiranosti poslovnoj praksi te umreženosti s uspješnim domaćim i međunarodnim stručnjacima i znanstvenicima.</w:t>
      </w:r>
    </w:p>
    <w:p w14:paraId="5487D525" w14:textId="77777777" w:rsidR="00952751" w:rsidRPr="00447199" w:rsidRDefault="00952751" w:rsidP="0095275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Financijsko poslovanje Fakulteta odvija se kroz program  3705 – Visoko obrazovanje. </w:t>
      </w:r>
    </w:p>
    <w:p w14:paraId="7A08D171" w14:textId="77777777" w:rsidR="00534860" w:rsidRPr="00534860" w:rsidRDefault="00534860" w:rsidP="0053486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4860">
        <w:rPr>
          <w:rFonts w:ascii="Times New Roman" w:hAnsi="Times New Roman" w:cs="Times New Roman"/>
          <w:noProof/>
          <w:sz w:val="24"/>
          <w:szCs w:val="24"/>
        </w:rPr>
        <w:t>U trenutku pisanja ovog obrazloženja, osoblje Ekonomskog fakulteta čine 1</w:t>
      </w:r>
      <w:r w:rsidR="00C60B74">
        <w:rPr>
          <w:rFonts w:ascii="Times New Roman" w:hAnsi="Times New Roman" w:cs="Times New Roman"/>
          <w:noProof/>
          <w:sz w:val="24"/>
          <w:szCs w:val="24"/>
        </w:rPr>
        <w:t>1</w:t>
      </w:r>
      <w:r w:rsidR="005617F5">
        <w:rPr>
          <w:rFonts w:ascii="Times New Roman" w:hAnsi="Times New Roman" w:cs="Times New Roman"/>
          <w:noProof/>
          <w:sz w:val="24"/>
          <w:szCs w:val="24"/>
        </w:rPr>
        <w:t>2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 zaposlenika, od čega je 3</w:t>
      </w:r>
      <w:r w:rsidR="005617F5">
        <w:rPr>
          <w:rFonts w:ascii="Times New Roman" w:hAnsi="Times New Roman" w:cs="Times New Roman"/>
          <w:noProof/>
          <w:sz w:val="24"/>
          <w:szCs w:val="24"/>
        </w:rPr>
        <w:t>2</w:t>
      </w:r>
      <w:r w:rsidR="00C60B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860">
        <w:rPr>
          <w:rFonts w:ascii="Times New Roman" w:hAnsi="Times New Roman" w:cs="Times New Roman"/>
          <w:noProof/>
          <w:sz w:val="24"/>
          <w:szCs w:val="24"/>
        </w:rPr>
        <w:t xml:space="preserve">zaposlenika u administraciji, a </w:t>
      </w:r>
      <w:r w:rsidR="00C60B74">
        <w:rPr>
          <w:rFonts w:ascii="Times New Roman" w:hAnsi="Times New Roman" w:cs="Times New Roman"/>
          <w:noProof/>
          <w:sz w:val="24"/>
          <w:szCs w:val="24"/>
        </w:rPr>
        <w:t xml:space="preserve">80 </w:t>
      </w:r>
      <w:r w:rsidRPr="00534860">
        <w:rPr>
          <w:rFonts w:ascii="Times New Roman" w:hAnsi="Times New Roman" w:cs="Times New Roman"/>
          <w:noProof/>
          <w:sz w:val="24"/>
          <w:szCs w:val="24"/>
        </w:rPr>
        <w:t>su nastavno osoblje.</w:t>
      </w:r>
    </w:p>
    <w:p w14:paraId="3F57D68F" w14:textId="77777777"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MISIJA</w:t>
      </w:r>
    </w:p>
    <w:p w14:paraId="27CF0531" w14:textId="77777777"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U međunarodnom okruženju razvijamo poduzetnički orijentirane i društveno odgovorne menadžere te doprinosimo razvoju znanosti.</w:t>
      </w:r>
    </w:p>
    <w:p w14:paraId="4C06E917" w14:textId="77777777"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 </w:t>
      </w:r>
    </w:p>
    <w:p w14:paraId="4028EB5A" w14:textId="77777777"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VIZIJA</w:t>
      </w:r>
    </w:p>
    <w:p w14:paraId="7CD9A6EC" w14:textId="77777777" w:rsidR="005617F5" w:rsidRPr="005617F5" w:rsidRDefault="005617F5" w:rsidP="0044719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17F5">
        <w:rPr>
          <w:rFonts w:ascii="Times New Roman" w:hAnsi="Times New Roman" w:cs="Times New Roman"/>
          <w:noProof/>
          <w:sz w:val="24"/>
          <w:szCs w:val="24"/>
        </w:rPr>
        <w:t>Kontinuiranim razvojem Fakultet će biti prepoznat kao društveno odgovorna i poželjna visokoobrazovna ustanova i partner zajednici u stvaranju održivog društva. </w:t>
      </w:r>
    </w:p>
    <w:p w14:paraId="44E593A9" w14:textId="77777777" w:rsidR="005617F5" w:rsidRPr="005617F5" w:rsidRDefault="005617F5" w:rsidP="00561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noProof/>
          <w:color w:val="333333"/>
          <w:sz w:val="24"/>
          <w:szCs w:val="24"/>
          <w:lang w:val="en-US"/>
        </w:rPr>
      </w:pPr>
      <w:r w:rsidRPr="005617F5">
        <w:rPr>
          <w:rFonts w:ascii="Helvetica" w:eastAsia="Times New Roman" w:hAnsi="Helvetica" w:cs="Helvetica"/>
          <w:noProof/>
          <w:color w:val="333333"/>
          <w:sz w:val="20"/>
          <w:szCs w:val="20"/>
          <w:lang w:val="en-US"/>
        </w:rPr>
        <w:t> </w:t>
      </w:r>
    </w:p>
    <w:p w14:paraId="365E91D6" w14:textId="77777777" w:rsidR="00BB47B9" w:rsidRDefault="00BB47B9" w:rsidP="00BB47B9">
      <w:pPr>
        <w:jc w:val="both"/>
      </w:pPr>
    </w:p>
    <w:p w14:paraId="650D979B" w14:textId="77777777" w:rsidR="00F815A6" w:rsidRPr="00FC1CE5" w:rsidRDefault="00105AA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E5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14:paraId="557DFF7B" w14:textId="77777777"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Upute za izradu prijedloga državnog proračuna Republike Hrvatske </w:t>
      </w:r>
      <w:r w:rsidRPr="00105AA0">
        <w:rPr>
          <w:rFonts w:ascii="Times New Roman" w:hAnsi="Times New Roman" w:cs="Times New Roman"/>
          <w:sz w:val="24"/>
          <w:szCs w:val="24"/>
        </w:rPr>
        <w:t xml:space="preserve">za razdoblje 2023.-2025. Ministarstva financija, rujan 2022. godina (Klasa: 400-06/22-01/00058, </w:t>
      </w:r>
      <w:proofErr w:type="spellStart"/>
      <w:r w:rsidRPr="00105AA0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105AA0">
        <w:rPr>
          <w:rFonts w:ascii="Times New Roman" w:hAnsi="Times New Roman" w:cs="Times New Roman"/>
          <w:sz w:val="24"/>
          <w:szCs w:val="24"/>
        </w:rPr>
        <w:t>. broj: 533-02-22-0002.</w:t>
      </w:r>
    </w:p>
    <w:p w14:paraId="5DBEFA48" w14:textId="77777777" w:rsidR="00105AA0" w:rsidRPr="00105AA0" w:rsidRDefault="00105AA0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 xml:space="preserve">Odluka o programskom financiranju javnih visokih učilišta u Republici Hrvatskoj </w:t>
      </w:r>
      <w:r w:rsidRPr="00105AA0">
        <w:rPr>
          <w:rFonts w:ascii="Times New Roman" w:hAnsi="Times New Roman" w:cs="Times New Roman"/>
          <w:sz w:val="24"/>
          <w:szCs w:val="24"/>
        </w:rPr>
        <w:t>u akademskim godinama 2018./2019., 2019./2020., 2020./2021. i 2021./2022. (Narodne novine, broj 87/2018.)</w:t>
      </w:r>
    </w:p>
    <w:p w14:paraId="02948BE1" w14:textId="77777777"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 xml:space="preserve">Zakon o znanosti i visokom obrazovanju 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NN br. 123/03,198/03,105/04,174/04,02/07,46/07,45/09,63/11, 94/13, 139/13,101/14,6 0/15 i 131/17; </w:t>
      </w:r>
    </w:p>
    <w:p w14:paraId="17C6E38C" w14:textId="77777777" w:rsidR="00952751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t>Zakon o ustanovama NN</w:t>
      </w:r>
      <w:r w:rsidRPr="00105AA0">
        <w:rPr>
          <w:rFonts w:ascii="Times New Roman" w:hAnsi="Times New Roman" w:cs="Times New Roman"/>
          <w:bCs/>
          <w:sz w:val="24"/>
          <w:szCs w:val="24"/>
        </w:rPr>
        <w:t xml:space="preserve"> 76/93, 29/97, 47/99, 35/08 i 127/19; </w:t>
      </w:r>
    </w:p>
    <w:p w14:paraId="44143D2A" w14:textId="77777777" w:rsidR="00105AA0" w:rsidRPr="00105AA0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Zakon o proračunu</w:t>
      </w:r>
      <w:r w:rsidRPr="00105AA0">
        <w:rPr>
          <w:rFonts w:ascii="Times New Roman" w:hAnsi="Times New Roman" w:cs="Times New Roman"/>
          <w:sz w:val="24"/>
          <w:szCs w:val="24"/>
        </w:rPr>
        <w:t xml:space="preserve"> (NN, br. 87/08, 136/12, 15/15</w:t>
      </w:r>
      <w:r>
        <w:rPr>
          <w:rFonts w:ascii="Times New Roman" w:hAnsi="Times New Roman" w:cs="Times New Roman"/>
          <w:sz w:val="24"/>
          <w:szCs w:val="24"/>
        </w:rPr>
        <w:t>,144/21</w:t>
      </w:r>
      <w:r w:rsidRPr="00105AA0">
        <w:rPr>
          <w:rFonts w:ascii="Times New Roman" w:hAnsi="Times New Roman" w:cs="Times New Roman"/>
          <w:sz w:val="24"/>
          <w:szCs w:val="24"/>
        </w:rPr>
        <w:t>)</w:t>
      </w:r>
    </w:p>
    <w:p w14:paraId="577B53CA" w14:textId="77777777" w:rsidR="00952751" w:rsidRPr="00105AA0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A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osiguravanju kvalitete u znanosti i visokom obrazovanju, </w:t>
      </w:r>
      <w:r w:rsidRPr="00105AA0">
        <w:rPr>
          <w:rFonts w:ascii="Times New Roman" w:hAnsi="Times New Roman" w:cs="Times New Roman"/>
          <w:bCs/>
          <w:sz w:val="24"/>
          <w:szCs w:val="24"/>
        </w:rPr>
        <w:t>Narodne novine, br. 45/09.</w:t>
      </w:r>
    </w:p>
    <w:p w14:paraId="314A5CED" w14:textId="77777777" w:rsidR="00952751" w:rsidRP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105AA0">
        <w:rPr>
          <w:rFonts w:ascii="Times New Roman" w:hAnsi="Times New Roman" w:cs="Times New Roman"/>
          <w:b/>
          <w:sz w:val="24"/>
          <w:szCs w:val="24"/>
        </w:rPr>
        <w:t>Uredba o nazivima radnih mjesta i koeficijentima složenosti poslova u javnim službama</w:t>
      </w:r>
      <w:r w:rsidRPr="00105AA0">
        <w:rPr>
          <w:rFonts w:ascii="Times New Roman" w:hAnsi="Times New Roman" w:cs="Times New Roman"/>
          <w:sz w:val="24"/>
          <w:szCs w:val="24"/>
        </w:rPr>
        <w:t>(NN25/13,72/13,151/13,9/14,40/14,51/14,77/14,83</w:t>
      </w:r>
      <w:r w:rsidRPr="00952751">
        <w:rPr>
          <w:rFonts w:ascii="Times New Roman" w:hAnsi="Times New Roman" w:cs="Times New Roman"/>
          <w:sz w:val="24"/>
          <w:szCs w:val="24"/>
        </w:rPr>
        <w:t>/14,87/14,120/14,147/1,151/14,11/15,32/15,38/15,60/15,83/15,112/15,122/15,10/17,39/17,40/17,74/17,122/17,9/18,57/18,59/19,79/19 i 119/19).</w:t>
      </w:r>
    </w:p>
    <w:p w14:paraId="0CDBC332" w14:textId="77777777" w:rsidR="00952751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3757BD">
        <w:rPr>
          <w:rFonts w:ascii="Times New Roman" w:hAnsi="Times New Roman" w:cs="Times New Roman"/>
          <w:b/>
          <w:sz w:val="24"/>
          <w:szCs w:val="24"/>
        </w:rPr>
        <w:t>Kolektivni ugovor za znanost i visoko obrazovanje</w:t>
      </w:r>
      <w:r w:rsidRPr="003757BD">
        <w:rPr>
          <w:rFonts w:ascii="Times New Roman" w:hAnsi="Times New Roman" w:cs="Times New Roman"/>
          <w:sz w:val="24"/>
          <w:szCs w:val="24"/>
        </w:rPr>
        <w:t xml:space="preserve"> </w:t>
      </w:r>
      <w:r w:rsidRPr="00952751">
        <w:rPr>
          <w:rFonts w:ascii="Times New Roman" w:hAnsi="Times New Roman" w:cs="Times New Roman"/>
          <w:sz w:val="24"/>
          <w:szCs w:val="24"/>
        </w:rPr>
        <w:t>(NN 09/19), (NN 56/2022</w:t>
      </w:r>
      <w:r w:rsidR="003757BD" w:rsidRPr="003757BD">
        <w:rPr>
          <w:rFonts w:ascii="Times New Roman" w:hAnsi="Times New Roman" w:cs="Times New Roman"/>
          <w:sz w:val="24"/>
          <w:szCs w:val="24"/>
        </w:rPr>
        <w:t>).</w:t>
      </w:r>
    </w:p>
    <w:p w14:paraId="65DC197F" w14:textId="77777777" w:rsidR="005617F5" w:rsidRDefault="005617F5" w:rsidP="00952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B1027" w14:textId="77777777" w:rsidR="005617F5" w:rsidRPr="00952751" w:rsidRDefault="005617F5" w:rsidP="00952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77B0A" w14:textId="77777777" w:rsidR="003757BD" w:rsidRDefault="005617F5" w:rsidP="005617F5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 xml:space="preserve">Opis aktivnosti </w:t>
      </w:r>
    </w:p>
    <w:p w14:paraId="6F78046C" w14:textId="77777777" w:rsidR="00F815A6" w:rsidRPr="00447199" w:rsidRDefault="00F815A6" w:rsidP="00952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EA29C" w14:textId="77777777" w:rsidR="00481F50" w:rsidRPr="00447199" w:rsidRDefault="00481F50" w:rsidP="004471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071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A77E92">
        <w:rPr>
          <w:rFonts w:ascii="Times New Roman" w:hAnsi="Times New Roman" w:cs="Times New Roman"/>
          <w:sz w:val="24"/>
          <w:szCs w:val="24"/>
        </w:rPr>
        <w:t xml:space="preserve">Sveučilišta u Rijeci  </w:t>
      </w:r>
      <w:r w:rsidR="009B2E87" w:rsidRPr="00447199">
        <w:rPr>
          <w:rFonts w:ascii="Times New Roman" w:hAnsi="Times New Roman" w:cs="Times New Roman"/>
          <w:sz w:val="24"/>
          <w:szCs w:val="24"/>
        </w:rPr>
        <w:t>A621002</w:t>
      </w:r>
      <w:r w:rsidRPr="00E97071">
        <w:rPr>
          <w:rFonts w:ascii="Times New Roman" w:hAnsi="Times New Roman" w:cs="Times New Roman"/>
          <w:sz w:val="24"/>
          <w:szCs w:val="24"/>
        </w:rPr>
        <w:t xml:space="preserve">- opći prihodi i primici </w:t>
      </w:r>
      <w:r w:rsidR="00A77E92">
        <w:rPr>
          <w:rFonts w:ascii="Times New Roman" w:hAnsi="Times New Roman" w:cs="Times New Roman"/>
          <w:sz w:val="24"/>
          <w:szCs w:val="24"/>
        </w:rPr>
        <w:t>(11) –</w:t>
      </w:r>
      <w:r w:rsidRPr="00E97071">
        <w:rPr>
          <w:rFonts w:ascii="Times New Roman" w:hAnsi="Times New Roman" w:cs="Times New Roman"/>
          <w:sz w:val="24"/>
          <w:szCs w:val="24"/>
        </w:rPr>
        <w:t xml:space="preserve"> </w:t>
      </w:r>
      <w:r w:rsidR="00A77E92">
        <w:rPr>
          <w:rFonts w:ascii="Times New Roman" w:hAnsi="Times New Roman" w:cs="Times New Roman"/>
          <w:sz w:val="24"/>
          <w:szCs w:val="24"/>
        </w:rPr>
        <w:t xml:space="preserve">financiranje </w:t>
      </w:r>
      <w:r w:rsidRPr="00E97071">
        <w:rPr>
          <w:rFonts w:ascii="Times New Roman" w:hAnsi="Times New Roman" w:cs="Times New Roman"/>
          <w:sz w:val="24"/>
          <w:szCs w:val="24"/>
        </w:rPr>
        <w:t>plać</w:t>
      </w:r>
      <w:r w:rsidR="00A77E92">
        <w:rPr>
          <w:rFonts w:ascii="Times New Roman" w:hAnsi="Times New Roman" w:cs="Times New Roman"/>
          <w:sz w:val="24"/>
          <w:szCs w:val="24"/>
        </w:rPr>
        <w:t xml:space="preserve">a za redovan rad, naknade za prijevoz, sistematske preglede, </w:t>
      </w:r>
      <w:r w:rsidRPr="00E97071">
        <w:rPr>
          <w:rFonts w:ascii="Times New Roman" w:hAnsi="Times New Roman" w:cs="Times New Roman"/>
          <w:sz w:val="24"/>
          <w:szCs w:val="24"/>
        </w:rPr>
        <w:t xml:space="preserve">materijalna prava zaposlenika </w:t>
      </w:r>
      <w:r w:rsidR="00A77E92">
        <w:rPr>
          <w:rFonts w:ascii="Times New Roman" w:hAnsi="Times New Roman" w:cs="Times New Roman"/>
          <w:sz w:val="24"/>
          <w:szCs w:val="24"/>
        </w:rPr>
        <w:t>i naknade za nezapošljavanje invalida planirano</w:t>
      </w:r>
      <w:r w:rsidRPr="00E97071">
        <w:rPr>
          <w:rFonts w:ascii="Times New Roman" w:hAnsi="Times New Roman" w:cs="Times New Roman"/>
          <w:sz w:val="24"/>
          <w:szCs w:val="24"/>
        </w:rPr>
        <w:t xml:space="preserve"> sukladno Uputama Ministarstva financija i Ministarstva znanosti i ostvaruju se preko računa državne riznice.</w:t>
      </w:r>
      <w:r w:rsidR="00A77E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14:paraId="5197BC8F" w14:textId="77777777" w:rsidTr="00447199">
        <w:tc>
          <w:tcPr>
            <w:tcW w:w="1700" w:type="dxa"/>
            <w:shd w:val="clear" w:color="auto" w:fill="D0CECE" w:themeFill="background2" w:themeFillShade="E6"/>
          </w:tcPr>
          <w:p w14:paraId="65C132C8" w14:textId="77777777" w:rsidR="00447199" w:rsidRPr="009D005B" w:rsidRDefault="00447199" w:rsidP="00A77E92">
            <w:pPr>
              <w:jc w:val="both"/>
            </w:pPr>
            <w:r w:rsidRPr="009D005B">
              <w:t>Šifra aktivnosti</w:t>
            </w:r>
          </w:p>
          <w:p w14:paraId="3FC60304" w14:textId="77777777" w:rsidR="00447199" w:rsidRPr="009D005B" w:rsidRDefault="00447199" w:rsidP="00A77E92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2A6E7A8F" w14:textId="77777777" w:rsidR="00447199" w:rsidRPr="009D005B" w:rsidRDefault="00447199" w:rsidP="00447199">
            <w:pPr>
              <w:jc w:val="center"/>
            </w:pPr>
            <w:r>
              <w:t>Izvršenje 2022.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B608C13" w14:textId="77777777" w:rsidR="00447199" w:rsidRPr="009D005B" w:rsidRDefault="00447199" w:rsidP="00447199">
            <w:pPr>
              <w:jc w:val="center"/>
            </w:pPr>
            <w:r>
              <w:t>Plan 2023.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1EAA3B8" w14:textId="77777777" w:rsidR="00447199" w:rsidRPr="009D005B" w:rsidRDefault="00447199" w:rsidP="00447199">
            <w:pPr>
              <w:jc w:val="center"/>
            </w:pPr>
            <w:r>
              <w:t>Izvršenje 01.01.-30.06.2023.</w:t>
            </w:r>
          </w:p>
        </w:tc>
      </w:tr>
      <w:tr w:rsidR="00447199" w:rsidRPr="009D005B" w14:paraId="5E249E52" w14:textId="77777777" w:rsidTr="00447199">
        <w:tc>
          <w:tcPr>
            <w:tcW w:w="1700" w:type="dxa"/>
          </w:tcPr>
          <w:p w14:paraId="45299763" w14:textId="77777777" w:rsidR="00447199" w:rsidRPr="009D005B" w:rsidRDefault="00447199" w:rsidP="00A77E92">
            <w:r>
              <w:t>A621002</w:t>
            </w:r>
          </w:p>
        </w:tc>
        <w:tc>
          <w:tcPr>
            <w:tcW w:w="1839" w:type="dxa"/>
          </w:tcPr>
          <w:p w14:paraId="67A177D8" w14:textId="77777777" w:rsidR="00447199" w:rsidRPr="009D005B" w:rsidRDefault="00447199" w:rsidP="00447199">
            <w:pPr>
              <w:jc w:val="center"/>
            </w:pPr>
            <w:r>
              <w:t>2.897.369,17 €</w:t>
            </w:r>
          </w:p>
        </w:tc>
        <w:tc>
          <w:tcPr>
            <w:tcW w:w="2268" w:type="dxa"/>
          </w:tcPr>
          <w:p w14:paraId="387F933A" w14:textId="77777777" w:rsidR="00447199" w:rsidRPr="009D005B" w:rsidRDefault="00447199" w:rsidP="00447199">
            <w:pPr>
              <w:jc w:val="center"/>
            </w:pPr>
            <w:r>
              <w:t>3.332.581,00 €</w:t>
            </w:r>
          </w:p>
        </w:tc>
        <w:tc>
          <w:tcPr>
            <w:tcW w:w="2552" w:type="dxa"/>
          </w:tcPr>
          <w:p w14:paraId="113FF848" w14:textId="77777777" w:rsidR="00447199" w:rsidRPr="009D005B" w:rsidRDefault="00447199" w:rsidP="00447199">
            <w:pPr>
              <w:jc w:val="center"/>
            </w:pPr>
            <w:r>
              <w:t>1.631.191,00 €</w:t>
            </w:r>
          </w:p>
        </w:tc>
      </w:tr>
    </w:tbl>
    <w:p w14:paraId="3DDAAA86" w14:textId="77777777"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8CC9E64" w14:textId="77777777" w:rsidR="00447199" w:rsidRDefault="0044719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Pravomoćne sudske presude A621181- </w:t>
      </w:r>
      <w:r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="00982C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C7D">
        <w:rPr>
          <w:rFonts w:ascii="Times New Roman" w:hAnsi="Times New Roman" w:cs="Times New Roman"/>
          <w:sz w:val="24"/>
          <w:szCs w:val="24"/>
        </w:rPr>
        <w:t xml:space="preserve">aktivnost za pokriće </w:t>
      </w:r>
      <w:r w:rsidR="00982C26">
        <w:rPr>
          <w:rFonts w:ascii="Times New Roman" w:hAnsi="Times New Roman" w:cs="Times New Roman"/>
          <w:sz w:val="24"/>
          <w:szCs w:val="24"/>
        </w:rPr>
        <w:t>ra</w:t>
      </w:r>
      <w:r w:rsidR="00E52C7D">
        <w:rPr>
          <w:rFonts w:ascii="Times New Roman" w:hAnsi="Times New Roman" w:cs="Times New Roman"/>
          <w:sz w:val="24"/>
          <w:szCs w:val="24"/>
        </w:rPr>
        <w:t>shoda</w:t>
      </w:r>
      <w:r w:rsidR="00982C26">
        <w:rPr>
          <w:rFonts w:ascii="Times New Roman" w:hAnsi="Times New Roman" w:cs="Times New Roman"/>
          <w:sz w:val="24"/>
          <w:szCs w:val="24"/>
        </w:rPr>
        <w:t xml:space="preserve"> nastali</w:t>
      </w:r>
      <w:r w:rsidR="00E52C7D">
        <w:rPr>
          <w:rFonts w:ascii="Times New Roman" w:hAnsi="Times New Roman" w:cs="Times New Roman"/>
          <w:sz w:val="24"/>
          <w:szCs w:val="24"/>
        </w:rPr>
        <w:t>h</w:t>
      </w:r>
      <w:r w:rsidR="00982C26">
        <w:rPr>
          <w:rFonts w:ascii="Times New Roman" w:hAnsi="Times New Roman" w:cs="Times New Roman"/>
          <w:sz w:val="24"/>
          <w:szCs w:val="24"/>
        </w:rPr>
        <w:t xml:space="preserve"> zbog isplate plaća temeljem pravomoćnih presuda u korist zaposlenika Ekonomskog fakulteta u Rijeci. Do kraja godine bi se trebale realizirati preostale dvije tužbe.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2268"/>
        <w:gridCol w:w="2552"/>
      </w:tblGrid>
      <w:tr w:rsidR="00447199" w:rsidRPr="009D005B" w14:paraId="2EB7AFDB" w14:textId="77777777" w:rsidTr="00A90723">
        <w:tc>
          <w:tcPr>
            <w:tcW w:w="1700" w:type="dxa"/>
            <w:shd w:val="clear" w:color="auto" w:fill="D0CECE" w:themeFill="background2" w:themeFillShade="E6"/>
          </w:tcPr>
          <w:p w14:paraId="2CE50F49" w14:textId="77777777" w:rsidR="00447199" w:rsidRPr="009D005B" w:rsidRDefault="00447199" w:rsidP="00A90723">
            <w:pPr>
              <w:jc w:val="both"/>
            </w:pPr>
            <w:r w:rsidRPr="009D005B">
              <w:t>Šifra aktivnosti</w:t>
            </w:r>
          </w:p>
          <w:p w14:paraId="6A883CC2" w14:textId="77777777" w:rsidR="00447199" w:rsidRPr="009D005B" w:rsidRDefault="00447199" w:rsidP="00A90723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078FC522" w14:textId="77777777" w:rsidR="00447199" w:rsidRPr="009D005B" w:rsidRDefault="00447199" w:rsidP="00A90723">
            <w:pPr>
              <w:jc w:val="center"/>
            </w:pPr>
            <w:r>
              <w:t>Izvršenje 2022.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18A56FC" w14:textId="77777777" w:rsidR="00447199" w:rsidRPr="009D005B" w:rsidRDefault="00447199" w:rsidP="00A90723">
            <w:pPr>
              <w:jc w:val="center"/>
            </w:pPr>
            <w:r>
              <w:t>Plan 2023.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337CCC7" w14:textId="77777777" w:rsidR="00447199" w:rsidRPr="009D005B" w:rsidRDefault="00447199" w:rsidP="00A90723">
            <w:pPr>
              <w:jc w:val="center"/>
            </w:pPr>
            <w:r>
              <w:t>Izvršenje 01.01.-30.06.2023.</w:t>
            </w:r>
          </w:p>
        </w:tc>
      </w:tr>
      <w:tr w:rsidR="00447199" w:rsidRPr="009D005B" w14:paraId="1C2886CC" w14:textId="77777777" w:rsidTr="00A90723">
        <w:tc>
          <w:tcPr>
            <w:tcW w:w="1700" w:type="dxa"/>
            <w:shd w:val="clear" w:color="auto" w:fill="D0CECE" w:themeFill="background2" w:themeFillShade="E6"/>
          </w:tcPr>
          <w:p w14:paraId="57E23BED" w14:textId="77777777" w:rsidR="00447199" w:rsidRPr="009D005B" w:rsidRDefault="00447199" w:rsidP="00A90723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1D21C4FF" w14:textId="77777777" w:rsidR="00447199" w:rsidRDefault="00447199" w:rsidP="00A90723">
            <w:pPr>
              <w:jc w:val="center"/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38F3292" w14:textId="77777777" w:rsidR="00447199" w:rsidRDefault="00447199" w:rsidP="00A90723">
            <w:pPr>
              <w:jc w:val="center"/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793CCE7" w14:textId="77777777" w:rsidR="00447199" w:rsidRDefault="00447199" w:rsidP="00A90723">
            <w:pPr>
              <w:jc w:val="center"/>
            </w:pPr>
          </w:p>
        </w:tc>
      </w:tr>
      <w:tr w:rsidR="00447199" w:rsidRPr="009D005B" w14:paraId="7E3000CA" w14:textId="77777777" w:rsidTr="00A90723">
        <w:tc>
          <w:tcPr>
            <w:tcW w:w="1700" w:type="dxa"/>
          </w:tcPr>
          <w:p w14:paraId="59C80185" w14:textId="77777777" w:rsidR="00447199" w:rsidRPr="009D005B" w:rsidRDefault="00447199" w:rsidP="00A90723">
            <w:r>
              <w:t>A621181</w:t>
            </w:r>
          </w:p>
        </w:tc>
        <w:tc>
          <w:tcPr>
            <w:tcW w:w="1839" w:type="dxa"/>
          </w:tcPr>
          <w:p w14:paraId="68EF3B1B" w14:textId="77777777" w:rsidR="00447199" w:rsidRPr="009D005B" w:rsidRDefault="00447199" w:rsidP="00A90723">
            <w:pPr>
              <w:jc w:val="center"/>
            </w:pPr>
            <w:r>
              <w:t>2.885,66 €</w:t>
            </w:r>
          </w:p>
        </w:tc>
        <w:tc>
          <w:tcPr>
            <w:tcW w:w="2268" w:type="dxa"/>
          </w:tcPr>
          <w:p w14:paraId="3CBB7B50" w14:textId="77777777" w:rsidR="00447199" w:rsidRPr="009D005B" w:rsidRDefault="00E52C7D" w:rsidP="00A90723">
            <w:pPr>
              <w:jc w:val="center"/>
            </w:pPr>
            <w:r>
              <w:t xml:space="preserve"> 3.481,00 €</w:t>
            </w:r>
          </w:p>
        </w:tc>
        <w:tc>
          <w:tcPr>
            <w:tcW w:w="2552" w:type="dxa"/>
          </w:tcPr>
          <w:p w14:paraId="7F76733E" w14:textId="77777777" w:rsidR="00447199" w:rsidRPr="009D005B" w:rsidRDefault="00E52C7D" w:rsidP="00A90723">
            <w:pPr>
              <w:jc w:val="center"/>
            </w:pPr>
            <w:r>
              <w:t>8.706,30 €</w:t>
            </w:r>
          </w:p>
        </w:tc>
      </w:tr>
    </w:tbl>
    <w:p w14:paraId="129B3B8C" w14:textId="77777777" w:rsidR="00E52C7D" w:rsidRDefault="00E52C7D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82E91" w14:textId="77777777" w:rsidR="00481F50" w:rsidRPr="00481F50" w:rsidRDefault="00481F50" w:rsidP="004471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50">
        <w:rPr>
          <w:rFonts w:ascii="Times New Roman" w:hAnsi="Times New Roman" w:cs="Times New Roman"/>
          <w:sz w:val="24"/>
          <w:szCs w:val="24"/>
        </w:rPr>
        <w:t>Programsko financiranje javnih visokih učilišta</w:t>
      </w:r>
      <w:r w:rsidR="00D56CEF">
        <w:rPr>
          <w:rFonts w:ascii="Times New Roman" w:hAnsi="Times New Roman" w:cs="Times New Roman"/>
          <w:sz w:val="24"/>
          <w:szCs w:val="24"/>
        </w:rPr>
        <w:t xml:space="preserve"> </w:t>
      </w:r>
      <w:r w:rsidR="009B2E87" w:rsidRPr="00447199">
        <w:rPr>
          <w:rFonts w:ascii="Times New Roman" w:hAnsi="Times New Roman" w:cs="Times New Roman"/>
          <w:sz w:val="24"/>
          <w:szCs w:val="24"/>
        </w:rPr>
        <w:t xml:space="preserve">A622122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26" w:rsidRPr="00E97071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982C26">
        <w:rPr>
          <w:rFonts w:ascii="Times New Roman" w:hAnsi="Times New Roman" w:cs="Times New Roman"/>
          <w:sz w:val="24"/>
          <w:szCs w:val="24"/>
        </w:rPr>
        <w:t xml:space="preserve">(11) 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1F50">
        <w:rPr>
          <w:rFonts w:ascii="Times New Roman" w:hAnsi="Times New Roman" w:cs="Times New Roman"/>
          <w:sz w:val="24"/>
          <w:szCs w:val="24"/>
        </w:rPr>
        <w:t>rihodi iz Programskog financiranja javnih visokih učilišta ostvareni su temeljem Ugovora o programskom financiranju znanstvene, na</w:t>
      </w:r>
      <w:r w:rsidR="00E52C7D">
        <w:rPr>
          <w:rFonts w:ascii="Times New Roman" w:hAnsi="Times New Roman" w:cs="Times New Roman"/>
          <w:sz w:val="24"/>
          <w:szCs w:val="24"/>
        </w:rPr>
        <w:t xml:space="preserve">stavne i umjetničke djelatnosti. </w:t>
      </w:r>
      <w:r w:rsidRPr="00481F50">
        <w:rPr>
          <w:rFonts w:ascii="Times New Roman" w:hAnsi="Times New Roman" w:cs="Times New Roman"/>
          <w:sz w:val="24"/>
          <w:szCs w:val="24"/>
        </w:rPr>
        <w:t xml:space="preserve">Ugovorom su definirane dvije vrste financiranja: temeljno financiranje javnih visokih učilišta koje se temelji na broju redovnih studenata te dodatno financiranje koje se temelji na rezultatima odnosno postizanju dogovorenih ciljeva.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0"/>
        <w:gridCol w:w="1839"/>
        <w:gridCol w:w="1985"/>
        <w:gridCol w:w="2693"/>
      </w:tblGrid>
      <w:tr w:rsidR="004054AF" w:rsidRPr="009D005B" w14:paraId="4D06692B" w14:textId="77777777" w:rsidTr="00E52C7D">
        <w:tc>
          <w:tcPr>
            <w:tcW w:w="1700" w:type="dxa"/>
            <w:shd w:val="clear" w:color="auto" w:fill="D0CECE" w:themeFill="background2" w:themeFillShade="E6"/>
          </w:tcPr>
          <w:p w14:paraId="342F602C" w14:textId="77777777" w:rsidR="004054AF" w:rsidRPr="009D005B" w:rsidRDefault="004054AF" w:rsidP="00256439">
            <w:pPr>
              <w:jc w:val="both"/>
            </w:pPr>
            <w:r w:rsidRPr="009D005B">
              <w:t>Šifra aktivnosti</w:t>
            </w:r>
          </w:p>
          <w:p w14:paraId="18893641" w14:textId="77777777" w:rsidR="004054AF" w:rsidRPr="009D005B" w:rsidRDefault="004054AF" w:rsidP="00256439">
            <w:pPr>
              <w:jc w:val="both"/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62F30CEA" w14:textId="77777777" w:rsidR="004054AF" w:rsidRPr="009D005B" w:rsidRDefault="00E52C7D" w:rsidP="00256439">
            <w:pPr>
              <w:jc w:val="center"/>
            </w:pPr>
            <w:r>
              <w:t>Izvršenje 2022</w:t>
            </w:r>
            <w:r w:rsidRPr="009D005B">
              <w:t>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1435AC8" w14:textId="77777777" w:rsidR="004054AF" w:rsidRPr="009D005B" w:rsidRDefault="00E52C7D" w:rsidP="00256439">
            <w:pPr>
              <w:jc w:val="center"/>
            </w:pPr>
            <w:r>
              <w:t>Plan 2023.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2FFE621B" w14:textId="77777777" w:rsidR="004054AF" w:rsidRPr="009D005B" w:rsidRDefault="00E52C7D" w:rsidP="00E52C7D">
            <w:pPr>
              <w:jc w:val="center"/>
            </w:pPr>
            <w:r>
              <w:t>Izvršenje 01.01.-30.06.2023.</w:t>
            </w:r>
          </w:p>
        </w:tc>
      </w:tr>
      <w:tr w:rsidR="004054AF" w:rsidRPr="009D005B" w14:paraId="031BA1C2" w14:textId="77777777" w:rsidTr="00E52C7D">
        <w:tc>
          <w:tcPr>
            <w:tcW w:w="1700" w:type="dxa"/>
          </w:tcPr>
          <w:p w14:paraId="09FD7BC7" w14:textId="77777777" w:rsidR="004054AF" w:rsidRPr="009D005B" w:rsidRDefault="004054AF" w:rsidP="00256439">
            <w:r>
              <w:t>A622122</w:t>
            </w:r>
          </w:p>
        </w:tc>
        <w:tc>
          <w:tcPr>
            <w:tcW w:w="1839" w:type="dxa"/>
          </w:tcPr>
          <w:p w14:paraId="5C823D02" w14:textId="77777777" w:rsidR="004054AF" w:rsidRPr="009D005B" w:rsidRDefault="00E52C7D" w:rsidP="00E52C7D">
            <w:pPr>
              <w:jc w:val="center"/>
            </w:pPr>
            <w:r>
              <w:t>355.315,15 €</w:t>
            </w:r>
          </w:p>
        </w:tc>
        <w:tc>
          <w:tcPr>
            <w:tcW w:w="1985" w:type="dxa"/>
          </w:tcPr>
          <w:p w14:paraId="0B6B6D04" w14:textId="77777777" w:rsidR="004054AF" w:rsidRPr="009D005B" w:rsidRDefault="00E52C7D" w:rsidP="00E52C7D">
            <w:pPr>
              <w:jc w:val="center"/>
            </w:pPr>
            <w:r>
              <w:t>434.625,00 €</w:t>
            </w:r>
          </w:p>
        </w:tc>
        <w:tc>
          <w:tcPr>
            <w:tcW w:w="2693" w:type="dxa"/>
          </w:tcPr>
          <w:p w14:paraId="3341EC86" w14:textId="77777777" w:rsidR="004054AF" w:rsidRPr="009D005B" w:rsidRDefault="00E52C7D" w:rsidP="00E52C7D">
            <w:pPr>
              <w:jc w:val="center"/>
            </w:pPr>
            <w:r>
              <w:t>161.884,82 €</w:t>
            </w:r>
          </w:p>
        </w:tc>
      </w:tr>
    </w:tbl>
    <w:p w14:paraId="5619311E" w14:textId="77777777" w:rsidR="00E52C7D" w:rsidRDefault="00E52C7D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F7E3B19" w14:textId="77777777" w:rsidR="00481F50" w:rsidRPr="007A55E9" w:rsidRDefault="00E52C7D" w:rsidP="007A55E9">
      <w:pPr>
        <w:pStyle w:val="Naslov1"/>
        <w:shd w:val="clear" w:color="auto" w:fill="FFFFFF"/>
        <w:spacing w:before="300" w:beforeAutospacing="0" w:after="150" w:afterAutospacing="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>
        <w:rPr>
          <w:sz w:val="24"/>
          <w:szCs w:val="24"/>
        </w:rPr>
        <w:br w:type="page"/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lastRenderedPageBreak/>
        <w:t>EU projekti Sveučilišta u Rijeci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A679072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–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</w:t>
      </w:r>
      <w:r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izvori – Pomoći EU (51), Ostale pomoći i darovnice (52), i Donacije (61). </w:t>
      </w:r>
      <w:r w:rsidR="00D56CEF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Ova aktivnost odnosi se na projekte financirane iz EU fondova. Na Ekonomskom  fakultetu se, u sklopu 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ove aktivnosti provo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de projekti Erasmus + :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Leaders of the Green Economy, Jean Monnet Chair: EU business policies and contemporary challenges of European integration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7A55E9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„E-laboratory for digital education" ("LaDiEd”) 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 </w:t>
      </w:r>
      <w:r w:rsidR="007A55E9" w:rsidRPr="001F596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"Embracing rapid application development skills opportunity as a catalyst f</w:t>
      </w:r>
      <w:r w:rsid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or employability and innovation“ (RAD). </w:t>
      </w:r>
      <w:r w:rsidR="009B2E87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Ovom aktivnošću su obuhvaćeni i projekti MI- jučer, danas, sutra</w:t>
      </w:r>
      <w:r w:rsidR="00A05191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koji završava u listopadu 2023. godine te Zdravstveni opservatorij koji završava sa 31.12.2023. godine.</w:t>
      </w:r>
      <w:r w:rsidR="007A55E9" w:rsidRPr="007A55E9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Također, projekt Interreg Capacity Building of BLUE Economy Stakeholders to Effectively use CROWDFUNDING (BLUE CROWDFUNDING) evidentiran je pod ovom aktivnošću.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700"/>
        <w:gridCol w:w="2548"/>
        <w:gridCol w:w="2551"/>
        <w:gridCol w:w="2268"/>
      </w:tblGrid>
      <w:tr w:rsidR="007A55E9" w:rsidRPr="009D005B" w14:paraId="4DBB7000" w14:textId="77777777" w:rsidTr="00DE1DC6">
        <w:tc>
          <w:tcPr>
            <w:tcW w:w="1700" w:type="dxa"/>
            <w:shd w:val="clear" w:color="auto" w:fill="D0CECE" w:themeFill="background2" w:themeFillShade="E6"/>
          </w:tcPr>
          <w:p w14:paraId="48ADE77A" w14:textId="77777777" w:rsidR="007A55E9" w:rsidRPr="009D005B" w:rsidRDefault="007A55E9" w:rsidP="00DE1DC6">
            <w:pPr>
              <w:jc w:val="center"/>
            </w:pPr>
            <w:r w:rsidRPr="009D005B">
              <w:t>Šifra aktivnosti</w:t>
            </w:r>
          </w:p>
          <w:p w14:paraId="52961267" w14:textId="77777777" w:rsidR="007A55E9" w:rsidRPr="009D005B" w:rsidRDefault="007A55E9" w:rsidP="00DE1DC6">
            <w:pPr>
              <w:jc w:val="center"/>
            </w:pPr>
          </w:p>
        </w:tc>
        <w:tc>
          <w:tcPr>
            <w:tcW w:w="2548" w:type="dxa"/>
            <w:shd w:val="clear" w:color="auto" w:fill="D0CECE" w:themeFill="background2" w:themeFillShade="E6"/>
            <w:vAlign w:val="center"/>
          </w:tcPr>
          <w:p w14:paraId="624CE683" w14:textId="77777777" w:rsidR="007A55E9" w:rsidRPr="009D005B" w:rsidRDefault="007A55E9" w:rsidP="00DE1DC6">
            <w:pPr>
              <w:jc w:val="center"/>
            </w:pPr>
            <w:r>
              <w:t>Izvršenje 2022</w:t>
            </w:r>
            <w:r w:rsidRPr="009D005B">
              <w:t>.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B341B6A" w14:textId="77777777" w:rsidR="007A55E9" w:rsidRPr="009D005B" w:rsidRDefault="007A55E9" w:rsidP="00DE1DC6">
            <w:pPr>
              <w:jc w:val="center"/>
            </w:pPr>
            <w:r>
              <w:t>Plan 2023.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90C7398" w14:textId="77777777" w:rsidR="007A55E9" w:rsidRPr="009D005B" w:rsidRDefault="007A55E9" w:rsidP="00DE1DC6">
            <w:pPr>
              <w:jc w:val="center"/>
            </w:pPr>
            <w:r>
              <w:t>Izvršenje 01.01.-30.06.2023.</w:t>
            </w:r>
          </w:p>
        </w:tc>
      </w:tr>
      <w:tr w:rsidR="007A55E9" w:rsidRPr="009D005B" w14:paraId="77D002F9" w14:textId="77777777" w:rsidTr="00DE1DC6">
        <w:tc>
          <w:tcPr>
            <w:tcW w:w="1700" w:type="dxa"/>
          </w:tcPr>
          <w:p w14:paraId="2AC48B6A" w14:textId="77777777" w:rsidR="007A55E9" w:rsidRPr="009D005B" w:rsidRDefault="007A55E9" w:rsidP="007A55E9">
            <w:r>
              <w:t>A679072</w:t>
            </w:r>
          </w:p>
        </w:tc>
        <w:tc>
          <w:tcPr>
            <w:tcW w:w="2548" w:type="dxa"/>
          </w:tcPr>
          <w:p w14:paraId="51252C10" w14:textId="77777777" w:rsidR="007A55E9" w:rsidRPr="009D005B" w:rsidRDefault="007A55E9" w:rsidP="007A55E9">
            <w:pPr>
              <w:jc w:val="center"/>
            </w:pPr>
            <w:r>
              <w:t>380.567,26 €</w:t>
            </w:r>
          </w:p>
        </w:tc>
        <w:tc>
          <w:tcPr>
            <w:tcW w:w="2551" w:type="dxa"/>
          </w:tcPr>
          <w:p w14:paraId="1A183164" w14:textId="77777777" w:rsidR="007A55E9" w:rsidRPr="009D005B" w:rsidRDefault="007A55E9" w:rsidP="007A55E9">
            <w:pPr>
              <w:jc w:val="center"/>
            </w:pPr>
            <w:r>
              <w:t>227.345,00 €</w:t>
            </w:r>
          </w:p>
        </w:tc>
        <w:tc>
          <w:tcPr>
            <w:tcW w:w="2268" w:type="dxa"/>
          </w:tcPr>
          <w:p w14:paraId="2D2B790F" w14:textId="77777777" w:rsidR="007A55E9" w:rsidRPr="009D005B" w:rsidRDefault="007A55E9" w:rsidP="007A55E9">
            <w:pPr>
              <w:jc w:val="center"/>
            </w:pPr>
            <w:r>
              <w:t>42.790,93 €</w:t>
            </w:r>
          </w:p>
        </w:tc>
      </w:tr>
    </w:tbl>
    <w:p w14:paraId="020EF216" w14:textId="77777777" w:rsidR="007A55E9" w:rsidRDefault="007A55E9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269F190" w14:textId="77777777" w:rsidR="00D56CEF" w:rsidRPr="00FC1CE5" w:rsidRDefault="00A05191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 xml:space="preserve">Redovna djelatnost Sveučilišta u Rijeci (iz evidencijskih prihoda) A679089 </w:t>
      </w:r>
      <w:r w:rsidR="007A55E9">
        <w:rPr>
          <w:rFonts w:ascii="Times New Roman" w:hAnsi="Times New Roman" w:cs="Times New Roman"/>
          <w:sz w:val="24"/>
          <w:szCs w:val="24"/>
        </w:rPr>
        <w:t>–</w:t>
      </w:r>
      <w:r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7A55E9">
        <w:rPr>
          <w:rFonts w:ascii="Times New Roman" w:hAnsi="Times New Roman" w:cs="Times New Roman"/>
          <w:sz w:val="24"/>
          <w:szCs w:val="24"/>
        </w:rPr>
        <w:t xml:space="preserve">izvori - </w:t>
      </w:r>
      <w:r w:rsidR="007A55E9" w:rsidRPr="007A55E9">
        <w:rPr>
          <w:rFonts w:ascii="Times New Roman" w:hAnsi="Times New Roman" w:cs="Times New Roman"/>
          <w:sz w:val="24"/>
          <w:szCs w:val="24"/>
        </w:rPr>
        <w:t>Vlastiti prihodi (31), Ostali prihodi za posebne namjene (43), Ostale pomoći i darovnice (52), i Donacije (61)</w:t>
      </w:r>
      <w:r w:rsidR="007A55E9">
        <w:rPr>
          <w:rFonts w:ascii="Times New Roman" w:hAnsi="Times New Roman" w:cs="Times New Roman"/>
          <w:sz w:val="24"/>
          <w:szCs w:val="24"/>
        </w:rPr>
        <w:t>.</w:t>
      </w:r>
      <w:r w:rsidRPr="00FC1CE5">
        <w:rPr>
          <w:rFonts w:ascii="Times New Roman" w:hAnsi="Times New Roman" w:cs="Times New Roman"/>
          <w:sz w:val="24"/>
          <w:szCs w:val="24"/>
        </w:rPr>
        <w:t xml:space="preserve"> Ova aktivnost provodi se svake godine u okviru koje se planiraju rashodi i izdaci koji se izvršavaju iz vlastitih i namjenskih izvora. </w:t>
      </w:r>
      <w:r w:rsidR="007A55E9">
        <w:rPr>
          <w:rFonts w:ascii="Times New Roman" w:hAnsi="Times New Roman" w:cs="Times New Roman"/>
          <w:sz w:val="24"/>
          <w:szCs w:val="24"/>
        </w:rPr>
        <w:t xml:space="preserve">Rashodi se podmiruju iz  prihoda </w:t>
      </w:r>
      <w:r w:rsidRPr="00FC1CE5">
        <w:rPr>
          <w:rFonts w:ascii="Times New Roman" w:hAnsi="Times New Roman" w:cs="Times New Roman"/>
          <w:sz w:val="24"/>
          <w:szCs w:val="24"/>
        </w:rPr>
        <w:t>od školarina studenata, neostvarenih ECTS-a, dijela upisnina, materijalnih troškova studenata, osiguranja studenata, izdavanja potvrda, vlastitih prihoda ostvarenih na tržištu (prodaja proizvoda i usluga) i prijenosa Sveučilišta za specifične profile institucije, potpore te od prijenosa iz drugih proračuna (sufinanciranje projekata). Planirana je prema dosadašnjem ostvarenju, planovima o budućim upisnim kvotama, visini školarine te procjeni budućih komercijalnih projekata (izrada studija, elaborata), pokretanju cjeloživotnih obrazovanja, radionica i sl.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2410"/>
        <w:gridCol w:w="2790"/>
        <w:gridCol w:w="2029"/>
      </w:tblGrid>
      <w:tr w:rsidR="007A55E9" w:rsidRPr="009D005B" w14:paraId="50D7AC00" w14:textId="77777777" w:rsidTr="00DE1DC6">
        <w:trPr>
          <w:trHeight w:val="530"/>
        </w:trPr>
        <w:tc>
          <w:tcPr>
            <w:tcW w:w="1838" w:type="dxa"/>
            <w:shd w:val="clear" w:color="auto" w:fill="D0CECE" w:themeFill="background2" w:themeFillShade="E6"/>
          </w:tcPr>
          <w:p w14:paraId="0564E44E" w14:textId="77777777" w:rsidR="007A55E9" w:rsidRPr="009D005B" w:rsidRDefault="007A55E9" w:rsidP="007A55E9">
            <w:pPr>
              <w:jc w:val="both"/>
            </w:pPr>
            <w:r w:rsidRPr="009D005B">
              <w:t>Šifra aktivnosti</w:t>
            </w:r>
          </w:p>
          <w:p w14:paraId="0A97374A" w14:textId="77777777" w:rsidR="007A55E9" w:rsidRPr="009D005B" w:rsidRDefault="007A55E9" w:rsidP="007A55E9">
            <w:pPr>
              <w:jc w:val="both"/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6630D923" w14:textId="77777777" w:rsidR="007A55E9" w:rsidRPr="009D005B" w:rsidRDefault="007A55E9" w:rsidP="007A55E9">
            <w:pPr>
              <w:jc w:val="center"/>
            </w:pPr>
            <w:r>
              <w:t>Izvršenje 2022</w:t>
            </w:r>
            <w:r w:rsidRPr="009D005B">
              <w:t>.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7B0709F3" w14:textId="77777777" w:rsidR="007A55E9" w:rsidRPr="009D005B" w:rsidRDefault="007A55E9" w:rsidP="007A55E9">
            <w:pPr>
              <w:jc w:val="center"/>
            </w:pPr>
            <w:r>
              <w:t>Plan 2023.</w:t>
            </w:r>
          </w:p>
        </w:tc>
        <w:tc>
          <w:tcPr>
            <w:tcW w:w="2029" w:type="dxa"/>
            <w:shd w:val="clear" w:color="auto" w:fill="D0CECE" w:themeFill="background2" w:themeFillShade="E6"/>
            <w:vAlign w:val="center"/>
          </w:tcPr>
          <w:p w14:paraId="5815A13E" w14:textId="77777777" w:rsidR="007A55E9" w:rsidRPr="009D005B" w:rsidRDefault="007A55E9" w:rsidP="007A55E9">
            <w:pPr>
              <w:jc w:val="center"/>
            </w:pPr>
            <w:r>
              <w:t>Izvršenje 01.01.-30.06.2023.</w:t>
            </w:r>
          </w:p>
        </w:tc>
      </w:tr>
      <w:tr w:rsidR="007A55E9" w:rsidRPr="009D005B" w14:paraId="70B22AB4" w14:textId="77777777" w:rsidTr="00DE1DC6">
        <w:tc>
          <w:tcPr>
            <w:tcW w:w="1838" w:type="dxa"/>
          </w:tcPr>
          <w:p w14:paraId="7CEE6C17" w14:textId="77777777" w:rsidR="007A55E9" w:rsidRPr="009D005B" w:rsidRDefault="007A55E9" w:rsidP="007A55E9">
            <w:r>
              <w:t>A679089</w:t>
            </w:r>
          </w:p>
        </w:tc>
        <w:tc>
          <w:tcPr>
            <w:tcW w:w="2410" w:type="dxa"/>
          </w:tcPr>
          <w:p w14:paraId="61B5A45E" w14:textId="77777777" w:rsidR="007A55E9" w:rsidRPr="009D005B" w:rsidRDefault="007A55E9" w:rsidP="00DE1DC6">
            <w:pPr>
              <w:jc w:val="center"/>
            </w:pPr>
            <w:r>
              <w:t>2.326.466,13 €</w:t>
            </w:r>
          </w:p>
        </w:tc>
        <w:tc>
          <w:tcPr>
            <w:tcW w:w="2790" w:type="dxa"/>
          </w:tcPr>
          <w:p w14:paraId="106F874A" w14:textId="77777777" w:rsidR="007A55E9" w:rsidRPr="009D005B" w:rsidRDefault="00DE1DC6" w:rsidP="00DE1DC6">
            <w:pPr>
              <w:jc w:val="center"/>
            </w:pPr>
            <w:r>
              <w:t>1.675.503,00 €</w:t>
            </w:r>
          </w:p>
        </w:tc>
        <w:tc>
          <w:tcPr>
            <w:tcW w:w="2029" w:type="dxa"/>
          </w:tcPr>
          <w:p w14:paraId="21A5CCE5" w14:textId="77777777" w:rsidR="007A55E9" w:rsidRPr="009D005B" w:rsidRDefault="00DE1DC6" w:rsidP="00DE1DC6">
            <w:pPr>
              <w:jc w:val="center"/>
            </w:pPr>
            <w:r>
              <w:t>1.143.793,09 €</w:t>
            </w:r>
          </w:p>
        </w:tc>
      </w:tr>
    </w:tbl>
    <w:p w14:paraId="7E1D4076" w14:textId="77777777" w:rsidR="00DE1DC6" w:rsidRDefault="00DE1DC6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33EDF7C" w14:textId="77777777" w:rsidR="00DE1DC6" w:rsidRPr="00FC1CE5" w:rsidRDefault="005C18DC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1CE5">
        <w:rPr>
          <w:rFonts w:ascii="Times New Roman" w:hAnsi="Times New Roman" w:cs="Times New Roman"/>
          <w:sz w:val="24"/>
          <w:szCs w:val="24"/>
        </w:rPr>
        <w:t>OP UČINKOVITI LJUDSKI POTENCIJALI 2014.-2020., PRIORITET 3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– K679103</w:t>
      </w:r>
      <w:r w:rsidR="00DE1DC6">
        <w:rPr>
          <w:rFonts w:ascii="Times New Roman" w:hAnsi="Times New Roman" w:cs="Times New Roman"/>
          <w:sz w:val="24"/>
          <w:szCs w:val="24"/>
        </w:rPr>
        <w:t xml:space="preserve">, Izvori Nacionalno sufinanciranje (12) i Pomoći- Europski socijalni fond (561). </w:t>
      </w:r>
      <w:r w:rsidRPr="00FC1CE5">
        <w:rPr>
          <w:rFonts w:ascii="Times New Roman" w:hAnsi="Times New Roman" w:cs="Times New Roman"/>
          <w:sz w:val="24"/>
          <w:szCs w:val="24"/>
        </w:rPr>
        <w:t>Razvoj, unapređenje i provedba stručne prakse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 </w:t>
      </w:r>
      <w:r w:rsidR="00FC1CE5">
        <w:rPr>
          <w:rFonts w:ascii="Times New Roman" w:hAnsi="Times New Roman" w:cs="Times New Roman"/>
          <w:sz w:val="24"/>
          <w:szCs w:val="24"/>
        </w:rPr>
        <w:t xml:space="preserve">je projekt „ </w:t>
      </w:r>
      <w:r w:rsidR="00FC1CE5" w:rsidRPr="00FC1CE5">
        <w:rPr>
          <w:rFonts w:ascii="Times New Roman" w:hAnsi="Times New Roman" w:cs="Times New Roman"/>
          <w:sz w:val="24"/>
          <w:szCs w:val="24"/>
        </w:rPr>
        <w:t xml:space="preserve">Povećanje </w:t>
      </w:r>
      <w:proofErr w:type="spellStart"/>
      <w:r w:rsidR="00FC1CE5" w:rsidRPr="00FC1CE5">
        <w:rPr>
          <w:rFonts w:ascii="Times New Roman" w:hAnsi="Times New Roman" w:cs="Times New Roman"/>
          <w:sz w:val="24"/>
          <w:szCs w:val="24"/>
        </w:rPr>
        <w:t>zapošljivosti</w:t>
      </w:r>
      <w:proofErr w:type="spellEnd"/>
      <w:r w:rsidR="00FC1CE5" w:rsidRPr="00FC1CE5">
        <w:rPr>
          <w:rFonts w:ascii="Times New Roman" w:hAnsi="Times New Roman" w:cs="Times New Roman"/>
          <w:sz w:val="24"/>
          <w:szCs w:val="24"/>
        </w:rPr>
        <w:t xml:space="preserve"> studenata kroz unapređenje Centra za karijere i razvoj stručne prakse – CEZ</w:t>
      </w:r>
      <w:r w:rsidR="00DE1DC6">
        <w:rPr>
          <w:rFonts w:ascii="Times New Roman" w:hAnsi="Times New Roman" w:cs="Times New Roman"/>
          <w:sz w:val="24"/>
          <w:szCs w:val="24"/>
        </w:rPr>
        <w:t>AR“ koji se provodi kroz ovu aktivnost.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70"/>
        <w:gridCol w:w="2578"/>
        <w:gridCol w:w="2888"/>
        <w:gridCol w:w="1931"/>
      </w:tblGrid>
      <w:tr w:rsidR="00DE1DC6" w:rsidRPr="009D005B" w14:paraId="331B23C9" w14:textId="77777777" w:rsidTr="00DE1DC6">
        <w:tc>
          <w:tcPr>
            <w:tcW w:w="1670" w:type="dxa"/>
            <w:shd w:val="clear" w:color="auto" w:fill="D0CECE" w:themeFill="background2" w:themeFillShade="E6"/>
          </w:tcPr>
          <w:p w14:paraId="5E10722F" w14:textId="77777777" w:rsidR="00DE1DC6" w:rsidRPr="009D005B" w:rsidRDefault="00DE1DC6" w:rsidP="00DE1DC6">
            <w:pPr>
              <w:jc w:val="both"/>
            </w:pPr>
            <w:r w:rsidRPr="009D005B">
              <w:t>Šifra aktivnosti</w:t>
            </w:r>
          </w:p>
          <w:p w14:paraId="37F9629F" w14:textId="77777777" w:rsidR="00DE1DC6" w:rsidRPr="009D005B" w:rsidRDefault="00DE1DC6" w:rsidP="00DE1DC6">
            <w:pPr>
              <w:jc w:val="both"/>
            </w:pPr>
          </w:p>
        </w:tc>
        <w:tc>
          <w:tcPr>
            <w:tcW w:w="2578" w:type="dxa"/>
            <w:shd w:val="clear" w:color="auto" w:fill="D0CECE" w:themeFill="background2" w:themeFillShade="E6"/>
            <w:vAlign w:val="center"/>
          </w:tcPr>
          <w:p w14:paraId="754936AA" w14:textId="77777777" w:rsidR="00DE1DC6" w:rsidRPr="009D005B" w:rsidRDefault="00DE1DC6" w:rsidP="00DE1DC6">
            <w:pPr>
              <w:jc w:val="center"/>
            </w:pPr>
            <w:r>
              <w:t>Izvršenje 2022</w:t>
            </w:r>
            <w:r w:rsidRPr="009D005B">
              <w:t>.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14C30DD9" w14:textId="77777777" w:rsidR="00DE1DC6" w:rsidRPr="009D005B" w:rsidRDefault="00DE1DC6" w:rsidP="00DE1DC6">
            <w:pPr>
              <w:jc w:val="center"/>
            </w:pPr>
            <w:r>
              <w:t>Plan 2023.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19F6FB80" w14:textId="77777777" w:rsidR="00DE1DC6" w:rsidRPr="009D005B" w:rsidRDefault="00DE1DC6" w:rsidP="00DE1DC6">
            <w:pPr>
              <w:jc w:val="center"/>
            </w:pPr>
            <w:r>
              <w:t>Izvršenje 01.01.-30.06.2023.</w:t>
            </w:r>
          </w:p>
        </w:tc>
      </w:tr>
      <w:tr w:rsidR="00DE1DC6" w:rsidRPr="009D005B" w14:paraId="0E11DE1F" w14:textId="77777777" w:rsidTr="00DE1DC6">
        <w:tc>
          <w:tcPr>
            <w:tcW w:w="1670" w:type="dxa"/>
          </w:tcPr>
          <w:p w14:paraId="33389808" w14:textId="77777777" w:rsidR="00DE1DC6" w:rsidRPr="009D005B" w:rsidRDefault="00DE1DC6" w:rsidP="00DE1DC6">
            <w:r>
              <w:t>K679103</w:t>
            </w:r>
          </w:p>
        </w:tc>
        <w:tc>
          <w:tcPr>
            <w:tcW w:w="2578" w:type="dxa"/>
          </w:tcPr>
          <w:p w14:paraId="1D2D45B9" w14:textId="77777777" w:rsidR="00DE1DC6" w:rsidRPr="009D005B" w:rsidRDefault="00DE1DC6" w:rsidP="00DE1DC6">
            <w:pPr>
              <w:jc w:val="center"/>
            </w:pPr>
            <w:r>
              <w:t>99.301,88 €</w:t>
            </w:r>
          </w:p>
        </w:tc>
        <w:tc>
          <w:tcPr>
            <w:tcW w:w="2888" w:type="dxa"/>
          </w:tcPr>
          <w:p w14:paraId="6CD88360" w14:textId="77777777" w:rsidR="00DE1DC6" w:rsidRPr="009D005B" w:rsidRDefault="00DE1DC6" w:rsidP="00DE1DC6">
            <w:pPr>
              <w:jc w:val="center"/>
            </w:pPr>
            <w:r>
              <w:t>67.154,00 €</w:t>
            </w:r>
          </w:p>
        </w:tc>
        <w:tc>
          <w:tcPr>
            <w:tcW w:w="1931" w:type="dxa"/>
          </w:tcPr>
          <w:p w14:paraId="4934EA6B" w14:textId="77777777" w:rsidR="00DE1DC6" w:rsidRPr="009D005B" w:rsidRDefault="00DE1DC6" w:rsidP="00DE1DC6">
            <w:pPr>
              <w:jc w:val="center"/>
            </w:pPr>
            <w:r>
              <w:t>35.966,67 €</w:t>
            </w:r>
          </w:p>
        </w:tc>
      </w:tr>
    </w:tbl>
    <w:p w14:paraId="5E82F72B" w14:textId="77777777" w:rsidR="00E40414" w:rsidRDefault="00E40414" w:rsidP="00F815A6">
      <w:pPr>
        <w:spacing w:before="240"/>
        <w:jc w:val="both"/>
        <w:rPr>
          <w:i/>
        </w:rPr>
      </w:pPr>
    </w:p>
    <w:p w14:paraId="61511764" w14:textId="77777777" w:rsidR="00DE1DC6" w:rsidRDefault="00DE1DC6" w:rsidP="00870D6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FB514F" w14:textId="77777777" w:rsidR="00DE1DC6" w:rsidRDefault="00DE1DC6" w:rsidP="00870D6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right" w:tblpY="-645"/>
        <w:tblW w:w="9680" w:type="dxa"/>
        <w:tblLook w:val="04A0" w:firstRow="1" w:lastRow="0" w:firstColumn="1" w:lastColumn="0" w:noHBand="0" w:noVBand="1"/>
      </w:tblPr>
      <w:tblGrid>
        <w:gridCol w:w="634"/>
        <w:gridCol w:w="550"/>
        <w:gridCol w:w="2554"/>
        <w:gridCol w:w="1985"/>
        <w:gridCol w:w="413"/>
        <w:gridCol w:w="623"/>
        <w:gridCol w:w="1269"/>
        <w:gridCol w:w="1652"/>
      </w:tblGrid>
      <w:tr w:rsidR="006B7F03" w:rsidRPr="006B7F03" w14:paraId="28DF12FF" w14:textId="77777777" w:rsidTr="006B7F03">
        <w:trPr>
          <w:trHeight w:val="300"/>
        </w:trPr>
        <w:tc>
          <w:tcPr>
            <w:tcW w:w="57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497B0"/>
            <w:vAlign w:val="center"/>
            <w:hideMark/>
          </w:tcPr>
          <w:p w14:paraId="0A6B38D1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bookmarkStart w:id="0" w:name="RANGE!B11:R28"/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lastRenderedPageBreak/>
              <w:t>Izvori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financiranja</w:t>
            </w:r>
            <w:bookmarkEnd w:id="0"/>
            <w:proofErr w:type="spellEnd"/>
          </w:p>
        </w:tc>
        <w:tc>
          <w:tcPr>
            <w:tcW w:w="2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497B0"/>
            <w:vAlign w:val="center"/>
            <w:hideMark/>
          </w:tcPr>
          <w:p w14:paraId="4E6F59CE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Donos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0D5104D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6B7F03" w:rsidRPr="006B7F03" w14:paraId="5735CFE4" w14:textId="77777777" w:rsidTr="006B7F03">
        <w:trPr>
          <w:trHeight w:val="600"/>
        </w:trPr>
        <w:tc>
          <w:tcPr>
            <w:tcW w:w="57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7CE2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0B9F13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2E285DA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Odnos</w:t>
            </w:r>
            <w:proofErr w:type="spellEnd"/>
          </w:p>
        </w:tc>
      </w:tr>
      <w:tr w:rsidR="006B7F03" w:rsidRPr="006B7F03" w14:paraId="7A80AEC9" w14:textId="77777777" w:rsidTr="006B7F03">
        <w:trPr>
          <w:trHeight w:val="300"/>
        </w:trPr>
        <w:tc>
          <w:tcPr>
            <w:tcW w:w="57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338C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4753E9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06AC126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30.06.2023.</w:t>
            </w:r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6B7F03" w:rsidRPr="006B7F03" w14:paraId="65DD5CA9" w14:textId="77777777" w:rsidTr="006B7F03">
        <w:trPr>
          <w:trHeight w:val="300"/>
        </w:trPr>
        <w:tc>
          <w:tcPr>
            <w:tcW w:w="57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4902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497B0"/>
            <w:vAlign w:val="center"/>
            <w:hideMark/>
          </w:tcPr>
          <w:p w14:paraId="6003B275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08E21F74" w14:textId="77777777" w:rsidR="006B7F03" w:rsidRPr="006B7F03" w:rsidRDefault="006B7F03" w:rsidP="006B7F0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</w:p>
        </w:tc>
      </w:tr>
      <w:tr w:rsidR="006B7F03" w:rsidRPr="006B7F03" w14:paraId="31C81D07" w14:textId="77777777" w:rsidTr="006B7F03">
        <w:trPr>
          <w:trHeight w:val="300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B015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 xml:space="preserve">Svi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izvori</w:t>
            </w:r>
            <w:proofErr w:type="spellEnd"/>
          </w:p>
        </w:tc>
      </w:tr>
      <w:tr w:rsidR="006B7F03" w:rsidRPr="006B7F03" w14:paraId="7C636573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E51B5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1877C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OPĆI PRIHODI I PRIMICI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78E1E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-  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E84B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55.022,60 € </w:t>
            </w:r>
          </w:p>
        </w:tc>
      </w:tr>
      <w:tr w:rsidR="006B7F03" w:rsidRPr="006B7F03" w14:paraId="4363AB9F" w14:textId="77777777" w:rsidTr="006B7F03">
        <w:trPr>
          <w:trHeight w:val="28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F5AD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1.2.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89BED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NACIONALNO SUFINANCIRANJE  EU PROJEKATA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2C822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20.292,58 €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5EA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23.056,01 € </w:t>
            </w:r>
          </w:p>
        </w:tc>
      </w:tr>
      <w:tr w:rsidR="006B7F03" w:rsidRPr="006B7F03" w14:paraId="0023800E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BD5E4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97194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VLASTITI PRIHODI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2E3B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334.494,36 €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63D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354.035,43 € </w:t>
            </w:r>
          </w:p>
        </w:tc>
      </w:tr>
      <w:tr w:rsidR="006B7F03" w:rsidRPr="006B7F03" w14:paraId="7EC8C1DA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449DD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286A4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PRIHODI ZA POSEBNE NAMJENE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244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912.731,52 €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DA5C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122.683,80 € </w:t>
            </w:r>
          </w:p>
        </w:tc>
      </w:tr>
      <w:tr w:rsidR="006B7F03" w:rsidRPr="006B7F03" w14:paraId="71E683A6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1BE81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653E0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C7956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7C497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366.834,07 €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B85C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440.613,64 € </w:t>
            </w:r>
          </w:p>
        </w:tc>
      </w:tr>
      <w:tr w:rsidR="006B7F03" w:rsidRPr="006B7F03" w14:paraId="1CA88440" w14:textId="77777777" w:rsidTr="006B7F03">
        <w:trPr>
          <w:trHeight w:val="25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57C87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1F61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D25C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EU -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izvor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1F2A7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6EBB4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128.659,00 €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5C2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170.727,80 € </w:t>
            </w:r>
          </w:p>
        </w:tc>
      </w:tr>
      <w:tr w:rsidR="006B7F03" w:rsidRPr="006B7F03" w14:paraId="5E77085A" w14:textId="77777777" w:rsidTr="006B7F03">
        <w:trPr>
          <w:trHeight w:val="24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65DC0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741B4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5.2.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05DA6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Ostale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pomoći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-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izvor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5792E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6A551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172.077,64 €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D278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219.762,32 € </w:t>
            </w:r>
          </w:p>
        </w:tc>
      </w:tr>
      <w:tr w:rsidR="006B7F03" w:rsidRPr="006B7F03" w14:paraId="0C0CF633" w14:textId="77777777" w:rsidTr="006B7F03">
        <w:trPr>
          <w:trHeight w:val="24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85ED5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AC7B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5.3.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C1250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ESF - </w:t>
            </w: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izvor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783AB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31395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66.097,43 €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1A8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50.123,52 € </w:t>
            </w:r>
          </w:p>
        </w:tc>
      </w:tr>
      <w:tr w:rsidR="006B7F03" w:rsidRPr="006B7F03" w14:paraId="69311FE4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DB780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59374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DONACIJE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6767A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19.590,60 €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D5AC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22.038,95 € </w:t>
            </w:r>
          </w:p>
        </w:tc>
      </w:tr>
      <w:tr w:rsidR="006B7F03" w:rsidRPr="006B7F03" w14:paraId="1917C4AD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16A10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EA16E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PRIHODI OD PRODAJE NEFIN. IMOVINE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ECF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-  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0702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-   € </w:t>
            </w:r>
          </w:p>
        </w:tc>
      </w:tr>
      <w:tr w:rsidR="006B7F03" w:rsidRPr="006B7F03" w14:paraId="456996CB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0D85F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97ED8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NAMJENSKI PRIMICI OD FIN. IMOVINE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3DF2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4242B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-  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796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-   € </w:t>
            </w:r>
          </w:p>
        </w:tc>
      </w:tr>
      <w:tr w:rsidR="006B7F03" w:rsidRPr="006B7F03" w14:paraId="4344A26C" w14:textId="77777777" w:rsidTr="006B7F0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ABCB0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9. 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5AF10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val="en-US"/>
              </w:rPr>
              <w:t>MANJAK PRIMITAKA OD FINANCIJSKE IMOVINE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9CDDB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B2A9E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EC3FF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-   €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C3E3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-   € </w:t>
            </w:r>
          </w:p>
        </w:tc>
      </w:tr>
      <w:tr w:rsidR="006B7F03" w:rsidRPr="006B7F03" w14:paraId="27F1A865" w14:textId="77777777" w:rsidTr="006B7F03">
        <w:trPr>
          <w:trHeight w:val="300"/>
        </w:trPr>
        <w:tc>
          <w:tcPr>
            <w:tcW w:w="5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7EF1A" w14:textId="77777777" w:rsidR="006B7F03" w:rsidRPr="006B7F03" w:rsidRDefault="006B7F03" w:rsidP="006B7F0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</w:pPr>
            <w:proofErr w:type="spellStart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Ukupno</w:t>
            </w:r>
            <w:proofErr w:type="spellEnd"/>
            <w:r w:rsidRPr="006B7F03">
              <w:rPr>
                <w:rFonts w:ascii="Arimo" w:eastAsia="Times New Roman" w:hAnsi="Arimo" w:cs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3C7CC8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BD14F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99692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1.653.943,13 €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34D6" w14:textId="77777777" w:rsidR="006B7F03" w:rsidRPr="006B7F03" w:rsidRDefault="006B7F03" w:rsidP="006B7F0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B7F03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1.017.450,43 € </w:t>
            </w:r>
          </w:p>
        </w:tc>
      </w:tr>
    </w:tbl>
    <w:p w14:paraId="7CD5FC6F" w14:textId="77777777" w:rsidR="006B7F03" w:rsidRDefault="006B7F03">
      <w:pPr>
        <w:rPr>
          <w:rFonts w:ascii="Times New Roman" w:hAnsi="Times New Roman" w:cs="Times New Roman"/>
          <w:b/>
          <w:sz w:val="24"/>
          <w:szCs w:val="24"/>
        </w:rPr>
      </w:pPr>
    </w:p>
    <w:p w14:paraId="3842350C" w14:textId="77777777" w:rsidR="006B7F03" w:rsidRDefault="006B7F03">
      <w:pPr>
        <w:rPr>
          <w:rFonts w:ascii="Times New Roman" w:hAnsi="Times New Roman" w:cs="Times New Roman"/>
          <w:b/>
          <w:sz w:val="24"/>
          <w:szCs w:val="24"/>
        </w:rPr>
      </w:pPr>
    </w:p>
    <w:p w14:paraId="5EF9D79D" w14:textId="77777777" w:rsidR="00870D6E" w:rsidRPr="00870D6E" w:rsidRDefault="00870D6E" w:rsidP="006B7F03">
      <w:pPr>
        <w:rPr>
          <w:rFonts w:ascii="Times New Roman" w:hAnsi="Times New Roman" w:cs="Times New Roman"/>
          <w:b/>
          <w:sz w:val="24"/>
          <w:szCs w:val="24"/>
        </w:rPr>
      </w:pPr>
      <w:r w:rsidRPr="00870D6E">
        <w:rPr>
          <w:rFonts w:ascii="Times New Roman" w:hAnsi="Times New Roman" w:cs="Times New Roman"/>
          <w:b/>
          <w:sz w:val="24"/>
          <w:szCs w:val="24"/>
        </w:rPr>
        <w:t>IZVJEŠTAJ O POSTIGNUTIM CILJEVIMA TEMELJENIM NA POKAZATELJIMA USPJEŠNOSTI U PRETHODN</w:t>
      </w:r>
      <w:r w:rsidR="00C60B74">
        <w:rPr>
          <w:rFonts w:ascii="Times New Roman" w:hAnsi="Times New Roman" w:cs="Times New Roman"/>
          <w:b/>
          <w:sz w:val="24"/>
          <w:szCs w:val="24"/>
        </w:rPr>
        <w:t>IM GODINAMA</w:t>
      </w:r>
    </w:p>
    <w:p w14:paraId="31D17C1A" w14:textId="77777777" w:rsidR="00870D6E" w:rsidRPr="008A4208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Pokazatelji rezultata za visoka učilišta:</w:t>
      </w:r>
    </w:p>
    <w:p w14:paraId="4C92B1A9" w14:textId="77777777" w:rsidR="00870D6E" w:rsidRPr="008A4208" w:rsidRDefault="00870D6E" w:rsidP="00870D6E">
      <w:pPr>
        <w:pStyle w:val="Odlomakpopisa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Broj studenata koji su u prethodnoj akademskoj godini stekli minimalno 55 ECTS bodova (uspješnost studiranja)</w:t>
      </w:r>
      <w:r w:rsidR="007314D0" w:rsidRPr="008A420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A4208" w:rsidRPr="008A4208">
        <w:rPr>
          <w:rFonts w:ascii="Times New Roman" w:hAnsi="Times New Roman" w:cs="Times New Roman"/>
          <w:b/>
          <w:noProof/>
          <w:sz w:val="24"/>
          <w:szCs w:val="24"/>
        </w:rPr>
        <w:t>(724)</w:t>
      </w:r>
    </w:p>
    <w:p w14:paraId="32B66D6C" w14:textId="77777777" w:rsidR="00870D6E" w:rsidRPr="008A4208" w:rsidRDefault="00870D6E" w:rsidP="00870D6E">
      <w:pPr>
        <w:pStyle w:val="Odlomakpopisa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>Broj radova objavljenih u časopisima uvedenim u bazi Web of Science za STEM područja znanosti</w:t>
      </w:r>
      <w:r w:rsidR="00DE1DC6" w:rsidRPr="008A42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(12)</w:t>
      </w:r>
    </w:p>
    <w:p w14:paraId="1B909796" w14:textId="77777777" w:rsidR="00870D6E" w:rsidRPr="008A4208" w:rsidRDefault="00870D6E" w:rsidP="00870D6E">
      <w:pPr>
        <w:pStyle w:val="Odlomakpopisa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Broj radova objavljenih u časopisima uvedenim u bazu Web of Science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i bazu SCOPUS 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E1DC6" w:rsidRPr="008A4208">
        <w:rPr>
          <w:rFonts w:ascii="Times New Roman" w:hAnsi="Times New Roman" w:cs="Times New Roman"/>
          <w:b/>
          <w:noProof/>
          <w:sz w:val="24"/>
          <w:szCs w:val="24"/>
        </w:rPr>
        <w:t>47</w:t>
      </w:r>
      <w:r w:rsidRPr="008A420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 za društveno, humanističko i interdisciplinarno područje znanosti i umjetnosti (objavljenih tijekom jedne godine)</w:t>
      </w:r>
    </w:p>
    <w:p w14:paraId="151416AF" w14:textId="77777777" w:rsidR="00870D6E" w:rsidRPr="008A4208" w:rsidRDefault="00870D6E" w:rsidP="00870D6E">
      <w:pPr>
        <w:pStyle w:val="Odlomakpopisa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4208">
        <w:rPr>
          <w:rFonts w:ascii="Times New Roman" w:hAnsi="Times New Roman" w:cs="Times New Roman"/>
          <w:noProof/>
          <w:sz w:val="24"/>
          <w:szCs w:val="24"/>
        </w:rPr>
        <w:t xml:space="preserve">Omjer broja završenih studenata u akademskoj godini i broja studenata upisanih u prvu godinu te akademske godine 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="00D41FCD">
        <w:rPr>
          <w:rFonts w:ascii="Times New Roman" w:hAnsi="Times New Roman" w:cs="Times New Roman"/>
          <w:b/>
          <w:noProof/>
          <w:sz w:val="24"/>
          <w:szCs w:val="24"/>
        </w:rPr>
        <w:t>0,53</w:t>
      </w:r>
      <w:r w:rsidR="006B7F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B7F03" w:rsidRPr="006B7F03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14:paraId="3EB6EC19" w14:textId="77777777" w:rsidR="000A0F02" w:rsidRDefault="000A0F02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C6196" w14:textId="77777777"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t>Održati povoljan omjer broja studenata po nastavniku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7"/>
        <w:gridCol w:w="1154"/>
        <w:gridCol w:w="1130"/>
        <w:gridCol w:w="1128"/>
        <w:gridCol w:w="1130"/>
        <w:gridCol w:w="1130"/>
        <w:gridCol w:w="1130"/>
      </w:tblGrid>
      <w:tr w:rsidR="008A4208" w14:paraId="7EB42B28" w14:textId="77777777" w:rsidTr="008A4208">
        <w:tc>
          <w:tcPr>
            <w:tcW w:w="1147" w:type="dxa"/>
          </w:tcPr>
          <w:p w14:paraId="46887D8D" w14:textId="77777777"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 </w:t>
            </w:r>
          </w:p>
        </w:tc>
        <w:tc>
          <w:tcPr>
            <w:tcW w:w="1154" w:type="dxa"/>
          </w:tcPr>
          <w:p w14:paraId="7D455DB0" w14:textId="77777777"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Pokazatelj</w:t>
            </w:r>
          </w:p>
        </w:tc>
        <w:tc>
          <w:tcPr>
            <w:tcW w:w="1130" w:type="dxa"/>
          </w:tcPr>
          <w:p w14:paraId="6928367A" w14:textId="77777777"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Ciljna </w:t>
            </w:r>
            <w:r w:rsidRPr="00FD3CB8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 </w:t>
            </w:r>
          </w:p>
        </w:tc>
        <w:tc>
          <w:tcPr>
            <w:tcW w:w="1128" w:type="dxa"/>
          </w:tcPr>
          <w:p w14:paraId="46BEC4CE" w14:textId="77777777" w:rsidR="008A4208" w:rsidRPr="00FD3CB8" w:rsidRDefault="008A4208" w:rsidP="00E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CB8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30" w:type="dxa"/>
          </w:tcPr>
          <w:p w14:paraId="1F90EE8D" w14:textId="77777777" w:rsidR="008A4208" w:rsidRPr="00173A9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2021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14:paraId="161C574A" w14:textId="77777777" w:rsidR="008A4208" w:rsidRPr="00173A95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0A0F02">
              <w:rPr>
                <w:rFonts w:ascii="Arial" w:hAnsi="Arial" w:cs="Arial"/>
                <w:sz w:val="18"/>
                <w:szCs w:val="18"/>
              </w:rPr>
              <w:t>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0" w:type="dxa"/>
          </w:tcPr>
          <w:p w14:paraId="584D70F9" w14:textId="77777777" w:rsidR="008A4208" w:rsidRDefault="008A4208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</w:p>
          <w:p w14:paraId="2DF3D80D" w14:textId="77777777"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2023.</w:t>
            </w:r>
          </w:p>
        </w:tc>
      </w:tr>
      <w:tr w:rsidR="008A4208" w14:paraId="2312F666" w14:textId="77777777" w:rsidTr="008A4208">
        <w:tc>
          <w:tcPr>
            <w:tcW w:w="1147" w:type="dxa"/>
          </w:tcPr>
          <w:p w14:paraId="60E8A5D3" w14:textId="77777777" w:rsidR="008A4208" w:rsidRPr="008A4208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4208">
              <w:rPr>
                <w:rFonts w:ascii="Arial" w:hAnsi="Arial" w:cs="Arial"/>
                <w:sz w:val="18"/>
                <w:szCs w:val="18"/>
              </w:rPr>
              <w:t xml:space="preserve">Održati kvalitetu uvjeta poučavanja </w:t>
            </w:r>
          </w:p>
          <w:p w14:paraId="582E7913" w14:textId="77777777"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9E7BD8D" w14:textId="77777777"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Omjer nastavnika i studenata</w:t>
            </w:r>
          </w:p>
        </w:tc>
        <w:tc>
          <w:tcPr>
            <w:tcW w:w="1130" w:type="dxa"/>
          </w:tcPr>
          <w:p w14:paraId="1A5F7010" w14:textId="77777777" w:rsidR="008A4208" w:rsidRPr="00F22135" w:rsidRDefault="008A4208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135">
              <w:rPr>
                <w:rFonts w:ascii="Arial" w:hAnsi="Arial" w:cs="Arial"/>
                <w:sz w:val="18"/>
                <w:szCs w:val="18"/>
              </w:rPr>
              <w:t>&lt; 30:1</w:t>
            </w:r>
          </w:p>
        </w:tc>
        <w:tc>
          <w:tcPr>
            <w:tcW w:w="1128" w:type="dxa"/>
          </w:tcPr>
          <w:p w14:paraId="5A5AE53C" w14:textId="77777777" w:rsidR="008A4208" w:rsidRPr="00F22135" w:rsidRDefault="008A4208" w:rsidP="008A42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Satnice održane nastave</w:t>
            </w:r>
            <w:r w:rsidRPr="00F221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191D50" w14:textId="77777777" w:rsidR="008A4208" w:rsidRPr="00F22135" w:rsidRDefault="008A4208" w:rsidP="00EA4E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A868332" w14:textId="77777777"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14:paraId="3563D5D4" w14:textId="77777777" w:rsidR="008A4208" w:rsidRPr="00F22135" w:rsidRDefault="000A0F02" w:rsidP="00EA4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25:1</w:t>
            </w:r>
          </w:p>
        </w:tc>
        <w:tc>
          <w:tcPr>
            <w:tcW w:w="1130" w:type="dxa"/>
          </w:tcPr>
          <w:p w14:paraId="520EF67D" w14:textId="77777777" w:rsidR="008A4208" w:rsidRPr="00F22135" w:rsidRDefault="000A0F02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286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:1</w:t>
            </w:r>
          </w:p>
        </w:tc>
      </w:tr>
    </w:tbl>
    <w:p w14:paraId="29836A7E" w14:textId="77777777" w:rsidR="00870D6E" w:rsidRDefault="00870D6E" w:rsidP="00870D6E">
      <w:pPr>
        <w:jc w:val="both"/>
        <w:rPr>
          <w:rFonts w:ascii="Arial" w:hAnsi="Arial" w:cs="Arial"/>
          <w:sz w:val="24"/>
          <w:szCs w:val="24"/>
        </w:rPr>
      </w:pPr>
    </w:p>
    <w:p w14:paraId="31992988" w14:textId="77777777" w:rsidR="00870D6E" w:rsidRPr="00870D6E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70D6E">
        <w:rPr>
          <w:rFonts w:ascii="Times New Roman" w:hAnsi="Times New Roman" w:cs="Times New Roman"/>
          <w:sz w:val="24"/>
          <w:szCs w:val="24"/>
        </w:rPr>
        <w:t>Povećati broj obranjenih doktorata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50"/>
        <w:gridCol w:w="1134"/>
        <w:gridCol w:w="993"/>
        <w:gridCol w:w="1417"/>
        <w:gridCol w:w="1134"/>
        <w:gridCol w:w="1134"/>
        <w:gridCol w:w="1100"/>
      </w:tblGrid>
      <w:tr w:rsidR="000A0F02" w14:paraId="1F0C4A62" w14:textId="77777777" w:rsidTr="00DB58B3">
        <w:tc>
          <w:tcPr>
            <w:tcW w:w="1250" w:type="dxa"/>
          </w:tcPr>
          <w:p w14:paraId="5BDB245D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Cilj</w:t>
            </w:r>
          </w:p>
        </w:tc>
        <w:tc>
          <w:tcPr>
            <w:tcW w:w="1134" w:type="dxa"/>
          </w:tcPr>
          <w:p w14:paraId="010EFB73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3" w:type="dxa"/>
          </w:tcPr>
          <w:p w14:paraId="36D12153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417" w:type="dxa"/>
          </w:tcPr>
          <w:p w14:paraId="0FF84FFD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  <w:p w14:paraId="44214BE4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podataka</w:t>
            </w:r>
          </w:p>
        </w:tc>
        <w:tc>
          <w:tcPr>
            <w:tcW w:w="1134" w:type="dxa"/>
          </w:tcPr>
          <w:p w14:paraId="4C693F65" w14:textId="77777777"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Ostvarenavrijednost 2021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CB1F029" w14:textId="77777777" w:rsidR="000A0F02" w:rsidRPr="00173A95" w:rsidRDefault="000A0F02" w:rsidP="000A0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14:paraId="5157595E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Ostvarena</w:t>
            </w:r>
            <w:r w:rsidRPr="00173A95">
              <w:rPr>
                <w:rFonts w:ascii="Arial" w:hAnsi="Arial" w:cs="Arial"/>
                <w:sz w:val="18"/>
                <w:szCs w:val="18"/>
              </w:rPr>
              <w:t>vrijednost</w:t>
            </w:r>
            <w:proofErr w:type="spellEnd"/>
            <w:r w:rsidRPr="00173A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2023.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0F02" w14:paraId="3F82BE71" w14:textId="77777777" w:rsidTr="00DB58B3">
        <w:tc>
          <w:tcPr>
            <w:tcW w:w="1250" w:type="dxa"/>
          </w:tcPr>
          <w:p w14:paraId="358E6646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Osnažiti doktorsku edukaciju</w:t>
            </w:r>
          </w:p>
        </w:tc>
        <w:tc>
          <w:tcPr>
            <w:tcW w:w="1134" w:type="dxa"/>
          </w:tcPr>
          <w:p w14:paraId="32F648A6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 xml:space="preserve">Broj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obranjenih</w:t>
            </w:r>
            <w:r w:rsidRPr="00173A95">
              <w:rPr>
                <w:rFonts w:ascii="Arial" w:hAnsi="Arial" w:cs="Arial"/>
                <w:sz w:val="18"/>
                <w:szCs w:val="18"/>
              </w:rPr>
              <w:t>doktorata</w:t>
            </w:r>
            <w:proofErr w:type="spellEnd"/>
          </w:p>
        </w:tc>
        <w:tc>
          <w:tcPr>
            <w:tcW w:w="993" w:type="dxa"/>
          </w:tcPr>
          <w:p w14:paraId="2D4DCB24" w14:textId="77777777"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C76FED2" w14:textId="77777777" w:rsidR="000A0F02" w:rsidRPr="00173A95" w:rsidRDefault="000A0F02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A95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134" w:type="dxa"/>
          </w:tcPr>
          <w:p w14:paraId="1C1A707E" w14:textId="77777777"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D5A6013" w14:textId="77777777"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14:paraId="4F248B9F" w14:textId="77777777" w:rsidR="000A0F02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480D40FB" w14:textId="77777777" w:rsidR="000A0F02" w:rsidRPr="00173A95" w:rsidRDefault="000A0F02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D0C60D" w14:textId="77777777" w:rsidR="00870D6E" w:rsidRDefault="00870D6E" w:rsidP="00870D6E">
      <w:pPr>
        <w:jc w:val="both"/>
        <w:rPr>
          <w:rFonts w:ascii="Arial" w:hAnsi="Arial" w:cs="Arial"/>
          <w:sz w:val="24"/>
          <w:szCs w:val="24"/>
        </w:rPr>
      </w:pPr>
    </w:p>
    <w:p w14:paraId="054AA1C4" w14:textId="77777777" w:rsidR="00870D6E" w:rsidRPr="008C2CDC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8C2CDC">
        <w:rPr>
          <w:rFonts w:ascii="Times New Roman" w:hAnsi="Times New Roman" w:cs="Times New Roman"/>
          <w:sz w:val="24"/>
          <w:szCs w:val="24"/>
        </w:rPr>
        <w:t xml:space="preserve">Povećati broj nastavnika –aktivnih mentora i </w:t>
      </w:r>
      <w:proofErr w:type="spellStart"/>
      <w:r w:rsidRPr="008C2CDC">
        <w:rPr>
          <w:rFonts w:ascii="Times New Roman" w:hAnsi="Times New Roman" w:cs="Times New Roman"/>
          <w:sz w:val="24"/>
          <w:szCs w:val="24"/>
        </w:rPr>
        <w:t>komentora</w:t>
      </w:r>
      <w:proofErr w:type="spellEnd"/>
      <w:r w:rsidRPr="008C2CDC">
        <w:rPr>
          <w:rFonts w:ascii="Times New Roman" w:hAnsi="Times New Roman" w:cs="Times New Roman"/>
          <w:sz w:val="24"/>
          <w:szCs w:val="24"/>
        </w:rPr>
        <w:t xml:space="preserve">  u doktoratu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7"/>
        <w:gridCol w:w="1078"/>
        <w:gridCol w:w="990"/>
        <w:gridCol w:w="1537"/>
        <w:gridCol w:w="1047"/>
        <w:gridCol w:w="1047"/>
        <w:gridCol w:w="1047"/>
      </w:tblGrid>
      <w:tr w:rsidR="00792864" w14:paraId="1B6679FC" w14:textId="77777777" w:rsidTr="00792864">
        <w:tc>
          <w:tcPr>
            <w:tcW w:w="1267" w:type="dxa"/>
          </w:tcPr>
          <w:p w14:paraId="1B2C82CB" w14:textId="77777777"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</w:t>
            </w:r>
          </w:p>
        </w:tc>
        <w:tc>
          <w:tcPr>
            <w:tcW w:w="1078" w:type="dxa"/>
          </w:tcPr>
          <w:p w14:paraId="15A26E21" w14:textId="77777777"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Pokazatelj</w:t>
            </w:r>
          </w:p>
        </w:tc>
        <w:tc>
          <w:tcPr>
            <w:tcW w:w="990" w:type="dxa"/>
          </w:tcPr>
          <w:p w14:paraId="1367AD4D" w14:textId="77777777"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537" w:type="dxa"/>
          </w:tcPr>
          <w:p w14:paraId="0B701720" w14:textId="77777777" w:rsidR="00792864" w:rsidRPr="00010687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1047" w:type="dxa"/>
          </w:tcPr>
          <w:p w14:paraId="6633EA49" w14:textId="77777777"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vrijednost 2021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14:paraId="70AFCD2E" w14:textId="77777777" w:rsidR="00792864" w:rsidRPr="00173A95" w:rsidRDefault="00792864" w:rsidP="008C2C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2022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47" w:type="dxa"/>
          </w:tcPr>
          <w:p w14:paraId="235F55AC" w14:textId="77777777" w:rsidR="00792864" w:rsidRPr="00173A95" w:rsidRDefault="00792864" w:rsidP="00792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Ostvarena </w:t>
            </w:r>
            <w:r w:rsidRPr="00173A95">
              <w:rPr>
                <w:rFonts w:ascii="Arial" w:hAnsi="Arial" w:cs="Arial"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  <w:r w:rsidRPr="00173A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864" w14:paraId="632CD82C" w14:textId="77777777" w:rsidTr="00792864">
        <w:tc>
          <w:tcPr>
            <w:tcW w:w="1267" w:type="dxa"/>
          </w:tcPr>
          <w:p w14:paraId="45626B80" w14:textId="77777777"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Aktivni mentor je svaki nastavnik koji ima</w:t>
            </w:r>
            <w:r>
              <w:rPr>
                <w:rFonts w:ascii="Arial" w:hAnsi="Arial" w:cs="Arial"/>
                <w:sz w:val="18"/>
                <w:szCs w:val="18"/>
              </w:rPr>
              <w:t xml:space="preserve"> sklopljen ugovor </w:t>
            </w:r>
            <w:r w:rsidRPr="00010687">
              <w:rPr>
                <w:rFonts w:ascii="Arial" w:hAnsi="Arial" w:cs="Arial"/>
                <w:sz w:val="18"/>
                <w:szCs w:val="18"/>
              </w:rPr>
              <w:t>o istraživanju i superviziji s doktorandom</w:t>
            </w:r>
          </w:p>
        </w:tc>
        <w:tc>
          <w:tcPr>
            <w:tcW w:w="1078" w:type="dxa"/>
          </w:tcPr>
          <w:p w14:paraId="6BC2D4C1" w14:textId="77777777"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Broj nastavnika koji su aktivni mentori</w:t>
            </w:r>
          </w:p>
        </w:tc>
        <w:tc>
          <w:tcPr>
            <w:tcW w:w="990" w:type="dxa"/>
          </w:tcPr>
          <w:p w14:paraId="2C68E65A" w14:textId="77777777"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37" w:type="dxa"/>
          </w:tcPr>
          <w:p w14:paraId="4F59D672" w14:textId="77777777" w:rsidR="00792864" w:rsidRPr="00010687" w:rsidRDefault="00792864" w:rsidP="00DB58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0687">
              <w:rPr>
                <w:rFonts w:ascii="Arial" w:hAnsi="Arial" w:cs="Arial"/>
                <w:sz w:val="18"/>
                <w:szCs w:val="18"/>
              </w:rPr>
              <w:t>Referada za poslijediplomske studije</w:t>
            </w:r>
          </w:p>
        </w:tc>
        <w:tc>
          <w:tcPr>
            <w:tcW w:w="1047" w:type="dxa"/>
          </w:tcPr>
          <w:p w14:paraId="4484C5C1" w14:textId="77777777" w:rsidR="00792864" w:rsidRPr="00010687" w:rsidRDefault="00792864" w:rsidP="0079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47" w:type="dxa"/>
          </w:tcPr>
          <w:p w14:paraId="34A35DFF" w14:textId="77777777"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</w:tcPr>
          <w:p w14:paraId="7A59D427" w14:textId="77777777" w:rsidR="00792864" w:rsidRPr="00010687" w:rsidRDefault="00792864" w:rsidP="00DB5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</w:tbl>
    <w:p w14:paraId="4A6E0180" w14:textId="77777777" w:rsidR="008C2CDC" w:rsidRDefault="008C2CDC" w:rsidP="00870D6E">
      <w:pPr>
        <w:jc w:val="both"/>
        <w:rPr>
          <w:rFonts w:ascii="Arial" w:hAnsi="Arial" w:cs="Arial"/>
          <w:sz w:val="24"/>
          <w:szCs w:val="24"/>
        </w:rPr>
      </w:pPr>
    </w:p>
    <w:p w14:paraId="793C6C74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Održan je povoljan omjer broja studenata po nastavniku, tj. &lt;30:1.</w:t>
      </w:r>
    </w:p>
    <w:p w14:paraId="1E199FFE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Obranjeno je </w:t>
      </w:r>
      <w:r w:rsidR="008C2CDC" w:rsidRPr="00D02A80">
        <w:rPr>
          <w:rFonts w:ascii="Times New Roman" w:hAnsi="Times New Roman" w:cs="Times New Roman"/>
          <w:sz w:val="24"/>
          <w:szCs w:val="24"/>
        </w:rPr>
        <w:t>4</w:t>
      </w:r>
      <w:r w:rsidRPr="00D02A80">
        <w:rPr>
          <w:rFonts w:ascii="Times New Roman" w:hAnsi="Times New Roman" w:cs="Times New Roman"/>
          <w:sz w:val="24"/>
          <w:szCs w:val="24"/>
        </w:rPr>
        <w:t xml:space="preserve"> doktorata, a 3</w:t>
      </w:r>
      <w:r w:rsidR="00792864" w:rsidRPr="00D02A80">
        <w:rPr>
          <w:rFonts w:ascii="Times New Roman" w:hAnsi="Times New Roman" w:cs="Times New Roman"/>
          <w:sz w:val="24"/>
          <w:szCs w:val="24"/>
        </w:rPr>
        <w:t>2</w:t>
      </w:r>
      <w:r w:rsidRPr="00D02A80">
        <w:rPr>
          <w:rFonts w:ascii="Times New Roman" w:hAnsi="Times New Roman" w:cs="Times New Roman"/>
          <w:sz w:val="24"/>
          <w:szCs w:val="24"/>
        </w:rPr>
        <w:t xml:space="preserve"> nastavnika su aktivni mentori. </w:t>
      </w:r>
      <w:r w:rsidR="00792864" w:rsidRPr="00D02A80">
        <w:rPr>
          <w:rFonts w:ascii="Times New Roman" w:hAnsi="Times New Roman" w:cs="Times New Roman"/>
          <w:sz w:val="24"/>
          <w:szCs w:val="24"/>
        </w:rPr>
        <w:t>Ovi ciljevi</w:t>
      </w:r>
      <w:r w:rsidRPr="00D02A80">
        <w:rPr>
          <w:rFonts w:ascii="Times New Roman" w:hAnsi="Times New Roman" w:cs="Times New Roman"/>
          <w:sz w:val="24"/>
          <w:szCs w:val="24"/>
        </w:rPr>
        <w:t xml:space="preserve"> postavljeni su i za daljnje praćenje uspješnosti za 202</w:t>
      </w:r>
      <w:r w:rsidR="008C2CDC" w:rsidRPr="00D02A80">
        <w:rPr>
          <w:rFonts w:ascii="Times New Roman" w:hAnsi="Times New Roman" w:cs="Times New Roman"/>
          <w:sz w:val="24"/>
          <w:szCs w:val="24"/>
        </w:rPr>
        <w:t>3</w:t>
      </w:r>
      <w:r w:rsidRPr="00D02A80">
        <w:rPr>
          <w:rFonts w:ascii="Times New Roman" w:hAnsi="Times New Roman" w:cs="Times New Roman"/>
          <w:sz w:val="24"/>
          <w:szCs w:val="24"/>
        </w:rPr>
        <w:t>. godinu.</w:t>
      </w:r>
    </w:p>
    <w:p w14:paraId="581BA4DF" w14:textId="77777777" w:rsidR="00792864" w:rsidRPr="00D02A80" w:rsidRDefault="00792864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790D16F" w14:textId="77777777" w:rsidR="00792864" w:rsidRPr="00D02A80" w:rsidRDefault="00792864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9BF61AC" w14:textId="77777777" w:rsidR="00C60B74" w:rsidRPr="00D02A80" w:rsidRDefault="00C60B74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E12CEDD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96C3C9" w14:textId="77777777" w:rsidR="00870D6E" w:rsidRPr="00D02A80" w:rsidRDefault="008C2CDC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>Rijeka, 2</w:t>
      </w:r>
      <w:r w:rsidR="00792864" w:rsidRPr="00D02A80">
        <w:rPr>
          <w:rFonts w:ascii="Times New Roman" w:hAnsi="Times New Roman" w:cs="Times New Roman"/>
          <w:sz w:val="24"/>
          <w:szCs w:val="24"/>
        </w:rPr>
        <w:t>1</w:t>
      </w:r>
      <w:r w:rsidRPr="00D02A80">
        <w:rPr>
          <w:rFonts w:ascii="Times New Roman" w:hAnsi="Times New Roman" w:cs="Times New Roman"/>
          <w:sz w:val="24"/>
          <w:szCs w:val="24"/>
        </w:rPr>
        <w:t>.</w:t>
      </w:r>
      <w:r w:rsidR="00792864" w:rsidRPr="00D02A80">
        <w:rPr>
          <w:rFonts w:ascii="Times New Roman" w:hAnsi="Times New Roman" w:cs="Times New Roman"/>
          <w:sz w:val="24"/>
          <w:szCs w:val="24"/>
        </w:rPr>
        <w:t xml:space="preserve"> srpnja </w:t>
      </w:r>
      <w:r w:rsidRPr="00D02A80">
        <w:rPr>
          <w:rFonts w:ascii="Times New Roman" w:hAnsi="Times New Roman" w:cs="Times New Roman"/>
          <w:sz w:val="24"/>
          <w:szCs w:val="24"/>
        </w:rPr>
        <w:t>202</w:t>
      </w:r>
      <w:r w:rsidR="00C60B74" w:rsidRPr="00D02A80">
        <w:rPr>
          <w:rFonts w:ascii="Times New Roman" w:hAnsi="Times New Roman" w:cs="Times New Roman"/>
          <w:sz w:val="24"/>
          <w:szCs w:val="24"/>
        </w:rPr>
        <w:t>3</w:t>
      </w:r>
      <w:r w:rsidRPr="00D02A80">
        <w:rPr>
          <w:rFonts w:ascii="Times New Roman" w:hAnsi="Times New Roman" w:cs="Times New Roman"/>
          <w:sz w:val="24"/>
          <w:szCs w:val="24"/>
        </w:rPr>
        <w:t>. godine</w:t>
      </w:r>
    </w:p>
    <w:p w14:paraId="2CE1C525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Dekan:</w:t>
      </w:r>
    </w:p>
    <w:p w14:paraId="6C54EF16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165063F" w14:textId="77777777" w:rsidR="00870D6E" w:rsidRPr="00D02A80" w:rsidRDefault="00870D6E" w:rsidP="00D02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0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D02A80">
        <w:rPr>
          <w:rFonts w:ascii="Times New Roman" w:hAnsi="Times New Roman" w:cs="Times New Roman"/>
          <w:sz w:val="24"/>
          <w:szCs w:val="24"/>
        </w:rPr>
        <w:t>Prof.dr.sc.</w:t>
      </w:r>
      <w:r w:rsidR="00C60B74" w:rsidRPr="00D02A80">
        <w:rPr>
          <w:rFonts w:ascii="Times New Roman" w:hAnsi="Times New Roman" w:cs="Times New Roman"/>
          <w:sz w:val="24"/>
          <w:szCs w:val="24"/>
        </w:rPr>
        <w:t>Saša</w:t>
      </w:r>
      <w:proofErr w:type="spellEnd"/>
      <w:r w:rsidR="00C60B74" w:rsidRPr="00D02A80">
        <w:rPr>
          <w:rFonts w:ascii="Times New Roman" w:hAnsi="Times New Roman" w:cs="Times New Roman"/>
          <w:sz w:val="24"/>
          <w:szCs w:val="24"/>
        </w:rPr>
        <w:t xml:space="preserve"> Drezgić</w:t>
      </w:r>
      <w:r w:rsidR="00D02A80">
        <w:rPr>
          <w:rFonts w:ascii="Times New Roman" w:hAnsi="Times New Roman" w:cs="Times New Roman"/>
          <w:sz w:val="24"/>
          <w:szCs w:val="24"/>
        </w:rPr>
        <w:t>, v.r.</w:t>
      </w:r>
    </w:p>
    <w:sectPr w:rsidR="00870D6E" w:rsidRPr="00D02A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8BE0" w14:textId="77777777" w:rsidR="006A2184" w:rsidRDefault="006A2184">
      <w:pPr>
        <w:spacing w:after="0" w:line="240" w:lineRule="auto"/>
      </w:pPr>
      <w:r>
        <w:separator/>
      </w:r>
    </w:p>
  </w:endnote>
  <w:endnote w:type="continuationSeparator" w:id="0">
    <w:p w14:paraId="34F937EF" w14:textId="77777777" w:rsidR="006A2184" w:rsidRDefault="006A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Content>
      <w:p w14:paraId="600AE034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80">
          <w:rPr>
            <w:noProof/>
          </w:rPr>
          <w:t>5</w:t>
        </w:r>
        <w:r>
          <w:fldChar w:fldCharType="end"/>
        </w:r>
      </w:p>
    </w:sdtContent>
  </w:sdt>
  <w:p w14:paraId="1C480435" w14:textId="77777777" w:rsidR="009D005B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BA84" w14:textId="77777777" w:rsidR="006A2184" w:rsidRDefault="006A2184">
      <w:pPr>
        <w:spacing w:after="0" w:line="240" w:lineRule="auto"/>
      </w:pPr>
      <w:r>
        <w:separator/>
      </w:r>
    </w:p>
  </w:footnote>
  <w:footnote w:type="continuationSeparator" w:id="0">
    <w:p w14:paraId="62B69CE0" w14:textId="77777777" w:rsidR="006A2184" w:rsidRDefault="006A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7043">
    <w:abstractNumId w:val="5"/>
  </w:num>
  <w:num w:numId="2" w16cid:durableId="1589731069">
    <w:abstractNumId w:val="7"/>
  </w:num>
  <w:num w:numId="3" w16cid:durableId="250236832">
    <w:abstractNumId w:val="3"/>
  </w:num>
  <w:num w:numId="4" w16cid:durableId="1212762774">
    <w:abstractNumId w:val="6"/>
  </w:num>
  <w:num w:numId="5" w16cid:durableId="1704986314">
    <w:abstractNumId w:val="0"/>
  </w:num>
  <w:num w:numId="6" w16cid:durableId="1323584735">
    <w:abstractNumId w:val="1"/>
  </w:num>
  <w:num w:numId="7" w16cid:durableId="1048798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22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A0F02"/>
    <w:rsid w:val="00105AA0"/>
    <w:rsid w:val="00133523"/>
    <w:rsid w:val="001B0F7A"/>
    <w:rsid w:val="001B3688"/>
    <w:rsid w:val="001B72AC"/>
    <w:rsid w:val="00220BF7"/>
    <w:rsid w:val="00227D81"/>
    <w:rsid w:val="002332F1"/>
    <w:rsid w:val="002C7121"/>
    <w:rsid w:val="002D444E"/>
    <w:rsid w:val="003239CD"/>
    <w:rsid w:val="00324025"/>
    <w:rsid w:val="003757BD"/>
    <w:rsid w:val="003B2CF0"/>
    <w:rsid w:val="003D0EB1"/>
    <w:rsid w:val="004054AF"/>
    <w:rsid w:val="00447199"/>
    <w:rsid w:val="004507D4"/>
    <w:rsid w:val="00474EAA"/>
    <w:rsid w:val="00481F50"/>
    <w:rsid w:val="004C3A59"/>
    <w:rsid w:val="004E02C5"/>
    <w:rsid w:val="0052014B"/>
    <w:rsid w:val="00532A65"/>
    <w:rsid w:val="00534860"/>
    <w:rsid w:val="005617F5"/>
    <w:rsid w:val="00570993"/>
    <w:rsid w:val="00585281"/>
    <w:rsid w:val="005C18DC"/>
    <w:rsid w:val="006A0943"/>
    <w:rsid w:val="006A2184"/>
    <w:rsid w:val="006B7F03"/>
    <w:rsid w:val="006C777D"/>
    <w:rsid w:val="00703212"/>
    <w:rsid w:val="007314D0"/>
    <w:rsid w:val="00792864"/>
    <w:rsid w:val="007A55E9"/>
    <w:rsid w:val="007B1B94"/>
    <w:rsid w:val="007F5FB0"/>
    <w:rsid w:val="008223B8"/>
    <w:rsid w:val="00846E65"/>
    <w:rsid w:val="00870D6E"/>
    <w:rsid w:val="008738C6"/>
    <w:rsid w:val="008750BD"/>
    <w:rsid w:val="00896FA1"/>
    <w:rsid w:val="008A4208"/>
    <w:rsid w:val="008C2CDC"/>
    <w:rsid w:val="00952751"/>
    <w:rsid w:val="00982C26"/>
    <w:rsid w:val="009A65A8"/>
    <w:rsid w:val="009B2E87"/>
    <w:rsid w:val="009E2203"/>
    <w:rsid w:val="009F236F"/>
    <w:rsid w:val="00A05191"/>
    <w:rsid w:val="00A46CB2"/>
    <w:rsid w:val="00A610F9"/>
    <w:rsid w:val="00A77E92"/>
    <w:rsid w:val="00B7598C"/>
    <w:rsid w:val="00BB222C"/>
    <w:rsid w:val="00BB47B9"/>
    <w:rsid w:val="00BD7FDD"/>
    <w:rsid w:val="00BE741E"/>
    <w:rsid w:val="00C60B74"/>
    <w:rsid w:val="00C84559"/>
    <w:rsid w:val="00CB4DEB"/>
    <w:rsid w:val="00CB764D"/>
    <w:rsid w:val="00CF3BAA"/>
    <w:rsid w:val="00D02A80"/>
    <w:rsid w:val="00D35E65"/>
    <w:rsid w:val="00D375DC"/>
    <w:rsid w:val="00D41FCD"/>
    <w:rsid w:val="00D46E3C"/>
    <w:rsid w:val="00D56CEF"/>
    <w:rsid w:val="00DA7AFE"/>
    <w:rsid w:val="00DE1DC6"/>
    <w:rsid w:val="00E16FD6"/>
    <w:rsid w:val="00E40414"/>
    <w:rsid w:val="00E52C7D"/>
    <w:rsid w:val="00E91E68"/>
    <w:rsid w:val="00E94DE0"/>
    <w:rsid w:val="00E97071"/>
    <w:rsid w:val="00EA4E97"/>
    <w:rsid w:val="00EF05CF"/>
    <w:rsid w:val="00EF0A99"/>
    <w:rsid w:val="00EF2D50"/>
    <w:rsid w:val="00F12286"/>
    <w:rsid w:val="00F815A6"/>
    <w:rsid w:val="00FC1CE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84C7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paragraph" w:styleId="Naslov1">
    <w:name w:val="heading 1"/>
    <w:basedOn w:val="Normal"/>
    <w:link w:val="Naslov1Char"/>
    <w:uiPriority w:val="9"/>
    <w:qFormat/>
    <w:rsid w:val="007A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character" w:customStyle="1" w:styleId="intenseemphasis">
    <w:name w:val="intenseemphasis"/>
    <w:basedOn w:val="Zadanifontodlomka"/>
    <w:rsid w:val="005617F5"/>
  </w:style>
  <w:style w:type="character" w:customStyle="1" w:styleId="Naslov1Char">
    <w:name w:val="Naslov 1 Char"/>
    <w:basedOn w:val="Zadanifontodlomka"/>
    <w:link w:val="Naslov1"/>
    <w:uiPriority w:val="9"/>
    <w:rsid w:val="007A55E9"/>
    <w:rPr>
      <w:rFonts w:ascii="Times New Roman" w:eastAsia="Times New Roman" w:hAnsi="Times New Roman" w:cs="Times New Roman"/>
      <w:b/>
      <w:bCs/>
      <w:noProof/>
      <w:kern w:val="36"/>
      <w:sz w:val="48"/>
      <w:szCs w:val="48"/>
      <w:lang w:val="en-US"/>
    </w:rPr>
  </w:style>
  <w:style w:type="paragraph" w:customStyle="1" w:styleId="Default">
    <w:name w:val="Default"/>
    <w:rsid w:val="008A42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2</cp:revision>
  <cp:lastPrinted>2023-07-21T12:22:00Z</cp:lastPrinted>
  <dcterms:created xsi:type="dcterms:W3CDTF">2023-07-31T13:54:00Z</dcterms:created>
  <dcterms:modified xsi:type="dcterms:W3CDTF">2023-07-31T13:54:00Z</dcterms:modified>
</cp:coreProperties>
</file>